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0506" w14:textId="77777777" w:rsidR="00853F53" w:rsidRPr="000E7469" w:rsidRDefault="00853F53" w:rsidP="00D9039C">
      <w:pPr>
        <w:spacing w:line="480" w:lineRule="auto"/>
        <w:rPr>
          <w:rFonts w:cs="Times New Roman"/>
          <w:b/>
        </w:rPr>
      </w:pPr>
    </w:p>
    <w:p w14:paraId="3F812BC1" w14:textId="77777777" w:rsidR="00853F53" w:rsidRPr="000E7469" w:rsidRDefault="00853F53" w:rsidP="000E7469">
      <w:pPr>
        <w:spacing w:line="480" w:lineRule="auto"/>
        <w:rPr>
          <w:rFonts w:cs="Times New Roman"/>
          <w:b/>
        </w:rPr>
      </w:pPr>
    </w:p>
    <w:p w14:paraId="59785511" w14:textId="72E3284F" w:rsidR="00853F53" w:rsidRPr="000E7469" w:rsidRDefault="00853F53" w:rsidP="000E7469">
      <w:pPr>
        <w:spacing w:line="480" w:lineRule="auto"/>
        <w:jc w:val="center"/>
        <w:rPr>
          <w:rFonts w:cs="Times New Roman"/>
        </w:rPr>
      </w:pPr>
      <w:r w:rsidRPr="000E7469">
        <w:rPr>
          <w:rFonts w:cs="Times New Roman"/>
          <w:b/>
        </w:rPr>
        <w:t xml:space="preserve">Barriers to Successful </w:t>
      </w:r>
      <w:r w:rsidR="00E612BA" w:rsidRPr="000E7469">
        <w:rPr>
          <w:rFonts w:cs="Times New Roman"/>
          <w:b/>
        </w:rPr>
        <w:t xml:space="preserve">Care </w:t>
      </w:r>
      <w:r w:rsidRPr="000E7469">
        <w:rPr>
          <w:rFonts w:cs="Times New Roman"/>
          <w:b/>
        </w:rPr>
        <w:t>Transitions Associated with Cognitive</w:t>
      </w:r>
      <w:r w:rsidR="00E612BA" w:rsidRPr="000E7469">
        <w:rPr>
          <w:rFonts w:cs="Times New Roman"/>
          <w:b/>
        </w:rPr>
        <w:t xml:space="preserve"> and Mood</w:t>
      </w:r>
      <w:r w:rsidRPr="000E7469">
        <w:rPr>
          <w:rFonts w:cs="Times New Roman"/>
          <w:b/>
        </w:rPr>
        <w:t xml:space="preserve"> Impairment</w:t>
      </w:r>
    </w:p>
    <w:p w14:paraId="786451BA" w14:textId="4CD72B6C" w:rsidR="00853F53" w:rsidRPr="00D673A2" w:rsidRDefault="00D673A2" w:rsidP="00D673A2">
      <w:pPr>
        <w:spacing w:line="480" w:lineRule="auto"/>
        <w:jc w:val="center"/>
        <w:rPr>
          <w:rFonts w:cs="Times New Roman"/>
        </w:rPr>
      </w:pPr>
      <w:r>
        <w:rPr>
          <w:rFonts w:cs="Times New Roman"/>
        </w:rPr>
        <w:t>March 2017</w:t>
      </w:r>
    </w:p>
    <w:p w14:paraId="7AAFB14D" w14:textId="77777777" w:rsidR="000E7469" w:rsidRPr="000E7469" w:rsidRDefault="000E7469" w:rsidP="000E7469">
      <w:pPr>
        <w:spacing w:line="480" w:lineRule="auto"/>
        <w:rPr>
          <w:rFonts w:cs="Times New Roman"/>
          <w:b/>
        </w:rPr>
      </w:pPr>
    </w:p>
    <w:p w14:paraId="755C2BAA" w14:textId="77777777" w:rsidR="00F73D98" w:rsidRDefault="003E5219" w:rsidP="00D9039C">
      <w:pPr>
        <w:spacing w:line="480" w:lineRule="auto"/>
        <w:rPr>
          <w:rFonts w:cs="Times New Roman"/>
          <w:b/>
        </w:rPr>
      </w:pPr>
      <w:r w:rsidRPr="00F73D98">
        <w:rPr>
          <w:rFonts w:cs="Times New Roman"/>
          <w:b/>
        </w:rPr>
        <w:t>Authors</w:t>
      </w:r>
    </w:p>
    <w:p w14:paraId="740209E7" w14:textId="50B73CD6" w:rsidR="00F73D98" w:rsidRDefault="003E5219" w:rsidP="00D9039C">
      <w:pPr>
        <w:spacing w:line="480" w:lineRule="auto"/>
        <w:rPr>
          <w:rFonts w:cs="Times New Roman"/>
        </w:rPr>
      </w:pPr>
      <w:r w:rsidRPr="000E7469">
        <w:rPr>
          <w:rFonts w:cs="Times New Roman"/>
        </w:rPr>
        <w:t xml:space="preserve">William E. </w:t>
      </w:r>
      <w:proofErr w:type="spellStart"/>
      <w:r w:rsidRPr="000E7469">
        <w:rPr>
          <w:rFonts w:cs="Times New Roman"/>
        </w:rPr>
        <w:t>Mansbach</w:t>
      </w:r>
      <w:proofErr w:type="spellEnd"/>
      <w:r w:rsidRPr="000E7469">
        <w:rPr>
          <w:rFonts w:cs="Times New Roman"/>
        </w:rPr>
        <w:t>, PhD and Ryan A. Mace, MS</w:t>
      </w:r>
      <w:r w:rsidR="00D9039C">
        <w:rPr>
          <w:rFonts w:cs="Times New Roman"/>
        </w:rPr>
        <w:t xml:space="preserve"> </w:t>
      </w:r>
    </w:p>
    <w:p w14:paraId="585E89D5" w14:textId="0D42D423" w:rsidR="00D9039C" w:rsidRDefault="00D9039C" w:rsidP="00D9039C">
      <w:pPr>
        <w:spacing w:line="480" w:lineRule="auto"/>
        <w:rPr>
          <w:rFonts w:eastAsia="Times New Roman" w:cs="Times New Roman"/>
          <w:color w:val="000000"/>
        </w:rPr>
      </w:pPr>
      <w:r w:rsidRPr="00D9039C">
        <w:rPr>
          <w:rFonts w:eastAsia="Times New Roman" w:cs="Times New Roman"/>
          <w:color w:val="000000"/>
        </w:rPr>
        <w:t xml:space="preserve">Dr. </w:t>
      </w:r>
      <w:proofErr w:type="spellStart"/>
      <w:r w:rsidRPr="00D9039C">
        <w:rPr>
          <w:rFonts w:eastAsia="Times New Roman" w:cs="Times New Roman"/>
          <w:color w:val="000000"/>
        </w:rPr>
        <w:t>Mansbach</w:t>
      </w:r>
      <w:proofErr w:type="spellEnd"/>
      <w:r w:rsidRPr="00D9039C">
        <w:rPr>
          <w:rFonts w:eastAsia="Times New Roman" w:cs="Times New Roman"/>
          <w:color w:val="000000"/>
        </w:rPr>
        <w:t xml:space="preserve"> is the director of the BCAT Research Center, the research division of </w:t>
      </w:r>
      <w:proofErr w:type="spellStart"/>
      <w:r w:rsidRPr="00D9039C">
        <w:rPr>
          <w:rFonts w:eastAsia="Times New Roman" w:cs="Times New Roman"/>
          <w:color w:val="000000"/>
        </w:rPr>
        <w:t>Mansbach</w:t>
      </w:r>
      <w:proofErr w:type="spellEnd"/>
      <w:r w:rsidRPr="00D9039C">
        <w:rPr>
          <w:rFonts w:eastAsia="Times New Roman" w:cs="Times New Roman"/>
          <w:color w:val="000000"/>
        </w:rPr>
        <w:t xml:space="preserve"> Health Tools, LLC.</w:t>
      </w:r>
      <w:r w:rsidR="00A3541B">
        <w:rPr>
          <w:rFonts w:eastAsia="Times New Roman" w:cs="Times New Roman"/>
          <w:color w:val="000000"/>
        </w:rPr>
        <w:t xml:space="preserve"> </w:t>
      </w:r>
      <w:r w:rsidRPr="00D9039C">
        <w:rPr>
          <w:rFonts w:eastAsia="Times New Roman" w:cs="Times New Roman"/>
          <w:color w:val="000000"/>
        </w:rPr>
        <w:t>Mr. Mace is research assistant at the BCAT Research Center.</w:t>
      </w:r>
    </w:p>
    <w:p w14:paraId="77E18EC8" w14:textId="77777777" w:rsidR="00F73D98" w:rsidRPr="00D9039C" w:rsidRDefault="00F73D98" w:rsidP="00D9039C">
      <w:pPr>
        <w:spacing w:line="480" w:lineRule="auto"/>
        <w:rPr>
          <w:rFonts w:cs="Times New Roman"/>
        </w:rPr>
      </w:pPr>
    </w:p>
    <w:p w14:paraId="5B20A48B" w14:textId="77777777" w:rsidR="00F73D98" w:rsidRPr="00F73D98" w:rsidRDefault="003E5219" w:rsidP="000E7469">
      <w:pPr>
        <w:spacing w:line="480" w:lineRule="auto"/>
        <w:rPr>
          <w:rFonts w:cs="Times New Roman"/>
          <w:b/>
        </w:rPr>
      </w:pPr>
      <w:r w:rsidRPr="00F73D98">
        <w:rPr>
          <w:rFonts w:cs="Times New Roman"/>
          <w:b/>
        </w:rPr>
        <w:t>Sponsors</w:t>
      </w:r>
    </w:p>
    <w:p w14:paraId="4AFFC3CA" w14:textId="59D2DF4E" w:rsidR="00DA595B" w:rsidRDefault="003E5219" w:rsidP="000E7469">
      <w:pPr>
        <w:spacing w:line="480" w:lineRule="auto"/>
        <w:rPr>
          <w:rFonts w:cs="Times New Roman"/>
        </w:rPr>
      </w:pPr>
      <w:r w:rsidRPr="000E7469">
        <w:rPr>
          <w:rFonts w:cs="Times New Roman"/>
        </w:rPr>
        <w:t>Maryland Office of Health Care Quality</w:t>
      </w:r>
      <w:r w:rsidR="00FF3D34">
        <w:rPr>
          <w:rFonts w:cs="Times New Roman"/>
        </w:rPr>
        <w:t xml:space="preserve"> and the Beacon Institute</w:t>
      </w:r>
    </w:p>
    <w:p w14:paraId="629B4B96" w14:textId="77777777" w:rsidR="000E7469" w:rsidRPr="000E7469" w:rsidRDefault="000E7469" w:rsidP="00F73D98">
      <w:pPr>
        <w:spacing w:line="480" w:lineRule="auto"/>
        <w:rPr>
          <w:rFonts w:cs="Times New Roman"/>
          <w:b/>
        </w:rPr>
      </w:pPr>
    </w:p>
    <w:p w14:paraId="54245A6E" w14:textId="0D7EE5F2" w:rsidR="00062790" w:rsidRPr="009551B7" w:rsidRDefault="00DA595B" w:rsidP="000E7469">
      <w:pPr>
        <w:spacing w:line="480" w:lineRule="auto"/>
        <w:rPr>
          <w:rFonts w:cs="Times New Roman"/>
          <w:b/>
        </w:rPr>
      </w:pPr>
      <w:r w:rsidRPr="009551B7">
        <w:rPr>
          <w:rFonts w:cs="Times New Roman"/>
          <w:b/>
        </w:rPr>
        <w:t>Abstract</w:t>
      </w:r>
    </w:p>
    <w:p w14:paraId="6A689DB2" w14:textId="5AC92B8D" w:rsidR="00D83B81" w:rsidRPr="000E7469" w:rsidRDefault="00D83B81" w:rsidP="000E7469">
      <w:pPr>
        <w:spacing w:line="480" w:lineRule="auto"/>
        <w:rPr>
          <w:rFonts w:cs="Times New Roman"/>
        </w:rPr>
      </w:pPr>
      <w:r w:rsidRPr="000E7469">
        <w:rPr>
          <w:rFonts w:cs="Times New Roman"/>
        </w:rPr>
        <w:t>The current project was designed to help Maryland stakeholders better understand two common transitions in care</w:t>
      </w:r>
      <w:r w:rsidR="00DA115B">
        <w:rPr>
          <w:rFonts w:cs="Times New Roman"/>
        </w:rPr>
        <w:t xml:space="preserve"> that</w:t>
      </w:r>
      <w:r w:rsidRPr="000E7469">
        <w:rPr>
          <w:rFonts w:cs="Times New Roman"/>
        </w:rPr>
        <w:t xml:space="preserve"> occur for </w:t>
      </w:r>
      <w:r w:rsidR="006B1859">
        <w:rPr>
          <w:rFonts w:cs="Times New Roman"/>
        </w:rPr>
        <w:t>older</w:t>
      </w:r>
      <w:r w:rsidRPr="000E7469">
        <w:rPr>
          <w:rFonts w:cs="Times New Roman"/>
        </w:rPr>
        <w:t xml:space="preserve"> patients: from hospital to nursing homes, and again, from nursing homes to community living situations. Skilled nursing staff (N = 58) representing at least 38 post-acute nursing facilities responded to online survey questions pertaining to short stay </w:t>
      </w:r>
      <w:proofErr w:type="gramStart"/>
      <w:r w:rsidRPr="000E7469">
        <w:rPr>
          <w:rFonts w:cs="Times New Roman"/>
        </w:rPr>
        <w:t>rehabilitation</w:t>
      </w:r>
      <w:proofErr w:type="gramEnd"/>
      <w:r w:rsidRPr="000E7469">
        <w:rPr>
          <w:rFonts w:cs="Times New Roman"/>
        </w:rPr>
        <w:t xml:space="preserve"> residents. B</w:t>
      </w:r>
      <w:r w:rsidR="00511B10">
        <w:rPr>
          <w:rFonts w:cs="Times New Roman"/>
        </w:rPr>
        <w:t>ased on the survey findings, seven</w:t>
      </w:r>
      <w:r w:rsidRPr="000E7469">
        <w:rPr>
          <w:rFonts w:cs="Times New Roman"/>
        </w:rPr>
        <w:t xml:space="preserve"> recommendations were provided for improving these care transitions in Maryland.</w:t>
      </w:r>
    </w:p>
    <w:p w14:paraId="42F79853" w14:textId="77777777" w:rsidR="00AA5B99" w:rsidRDefault="00AA5B99" w:rsidP="000E7469">
      <w:pPr>
        <w:spacing w:line="480" w:lineRule="auto"/>
        <w:rPr>
          <w:rFonts w:cs="Times New Roman"/>
        </w:rPr>
      </w:pPr>
    </w:p>
    <w:p w14:paraId="51544915" w14:textId="77777777" w:rsidR="00F73D98" w:rsidRPr="00F73D98" w:rsidRDefault="00F73D98" w:rsidP="00F73D98">
      <w:pPr>
        <w:spacing w:line="480" w:lineRule="auto"/>
        <w:rPr>
          <w:rFonts w:cs="Times New Roman"/>
          <w:b/>
        </w:rPr>
      </w:pPr>
      <w:r w:rsidRPr="00F73D98">
        <w:rPr>
          <w:rFonts w:cs="Times New Roman"/>
          <w:b/>
        </w:rPr>
        <w:t xml:space="preserve">Acknowledgement </w:t>
      </w:r>
    </w:p>
    <w:p w14:paraId="2984988D" w14:textId="6AF0C319" w:rsidR="00F73D98" w:rsidRPr="000E7469" w:rsidRDefault="00F73D98" w:rsidP="00F73D98">
      <w:pPr>
        <w:spacing w:line="480" w:lineRule="auto"/>
        <w:rPr>
          <w:rFonts w:cs="Times New Roman"/>
        </w:rPr>
      </w:pPr>
      <w:r w:rsidRPr="000E7469">
        <w:rPr>
          <w:rFonts w:cs="Times New Roman"/>
        </w:rPr>
        <w:t xml:space="preserve">The authors would like to thank participating facility staff for </w:t>
      </w:r>
      <w:r>
        <w:rPr>
          <w:rFonts w:cs="Times New Roman"/>
        </w:rPr>
        <w:t>their contribution to the project.</w:t>
      </w:r>
    </w:p>
    <w:p w14:paraId="18A25A88" w14:textId="77777777" w:rsidR="00E612BA" w:rsidRPr="000E7469" w:rsidRDefault="00E612BA" w:rsidP="000E7469">
      <w:pPr>
        <w:spacing w:line="480" w:lineRule="auto"/>
        <w:outlineLvl w:val="0"/>
        <w:rPr>
          <w:rFonts w:cs="Times New Roman"/>
          <w:b/>
        </w:rPr>
      </w:pPr>
      <w:r w:rsidRPr="000E7469">
        <w:rPr>
          <w:rFonts w:cs="Times New Roman"/>
          <w:b/>
        </w:rPr>
        <w:lastRenderedPageBreak/>
        <w:t>Barriers to Successful Care Transitions Associated with Cognitive and Mood Impairment</w:t>
      </w:r>
    </w:p>
    <w:p w14:paraId="4CA138B2" w14:textId="77777777" w:rsidR="008F03BC" w:rsidRPr="000E7469" w:rsidRDefault="008F03BC" w:rsidP="000E7469">
      <w:pPr>
        <w:spacing w:line="480" w:lineRule="auto"/>
        <w:outlineLvl w:val="0"/>
        <w:rPr>
          <w:rFonts w:cs="Times New Roman"/>
          <w:b/>
        </w:rPr>
      </w:pPr>
    </w:p>
    <w:p w14:paraId="63756817" w14:textId="54EF179C" w:rsidR="00295A82" w:rsidRPr="000E7469" w:rsidRDefault="00D943EB" w:rsidP="000E7469">
      <w:pPr>
        <w:spacing w:line="480" w:lineRule="auto"/>
        <w:ind w:firstLine="720"/>
        <w:rPr>
          <w:rFonts w:cs="Times New Roman"/>
        </w:rPr>
      </w:pPr>
      <w:r w:rsidRPr="000E7469">
        <w:rPr>
          <w:rFonts w:cs="Times New Roman"/>
        </w:rPr>
        <w:t>Patients with cog</w:t>
      </w:r>
      <w:r w:rsidR="00556B50" w:rsidRPr="000E7469">
        <w:rPr>
          <w:rFonts w:cs="Times New Roman"/>
        </w:rPr>
        <w:t xml:space="preserve">nitive impairment </w:t>
      </w:r>
      <w:r w:rsidR="00D44B19" w:rsidRPr="000E7469">
        <w:rPr>
          <w:rFonts w:cs="Times New Roman"/>
        </w:rPr>
        <w:t xml:space="preserve">appear to be </w:t>
      </w:r>
      <w:r w:rsidR="00556B50" w:rsidRPr="000E7469">
        <w:rPr>
          <w:rFonts w:cs="Times New Roman"/>
        </w:rPr>
        <w:t xml:space="preserve">particularly </w:t>
      </w:r>
      <w:r w:rsidRPr="000E7469">
        <w:rPr>
          <w:rFonts w:cs="Times New Roman"/>
        </w:rPr>
        <w:t xml:space="preserve">vulnerable to perilous </w:t>
      </w:r>
      <w:r w:rsidR="00556B50" w:rsidRPr="000E7469">
        <w:rPr>
          <w:rFonts w:cs="Times New Roman"/>
        </w:rPr>
        <w:t>care transitions from hospital</w:t>
      </w:r>
      <w:r w:rsidRPr="000E7469">
        <w:rPr>
          <w:rFonts w:cs="Times New Roman"/>
        </w:rPr>
        <w:t xml:space="preserve"> to post-acute care facilities.</w:t>
      </w:r>
      <w:r w:rsidR="00B248AA" w:rsidRPr="000E7469">
        <w:rPr>
          <w:rFonts w:cs="Times New Roman"/>
          <w:vertAlign w:val="superscript"/>
        </w:rPr>
        <w:t>1</w:t>
      </w:r>
      <w:r w:rsidR="007F0216" w:rsidRPr="000E7469">
        <w:rPr>
          <w:rFonts w:cs="Times New Roman"/>
        </w:rPr>
        <w:t xml:space="preserve"> </w:t>
      </w:r>
      <w:r w:rsidR="00036173" w:rsidRPr="000E7469">
        <w:rPr>
          <w:rFonts w:cs="Times New Roman"/>
        </w:rPr>
        <w:t>For patients in general, t</w:t>
      </w:r>
      <w:r w:rsidR="00556B50" w:rsidRPr="000E7469">
        <w:rPr>
          <w:rFonts w:cs="Times New Roman"/>
        </w:rPr>
        <w:t xml:space="preserve">he Office of the Inspector General found that 22% of </w:t>
      </w:r>
      <w:r w:rsidR="00DA0AB3" w:rsidRPr="000E7469">
        <w:rPr>
          <w:rFonts w:cs="Times New Roman"/>
        </w:rPr>
        <w:t>those</w:t>
      </w:r>
      <w:r w:rsidR="00556B50" w:rsidRPr="000E7469">
        <w:rPr>
          <w:rFonts w:cs="Times New Roman"/>
        </w:rPr>
        <w:t xml:space="preserve"> transitioning from a hospital to a </w:t>
      </w:r>
      <w:r w:rsidR="00D44B19" w:rsidRPr="000E7469">
        <w:rPr>
          <w:rFonts w:cs="Times New Roman"/>
        </w:rPr>
        <w:t>skilled nursing</w:t>
      </w:r>
      <w:r w:rsidR="00556B50" w:rsidRPr="000E7469">
        <w:rPr>
          <w:rFonts w:cs="Times New Roman"/>
        </w:rPr>
        <w:t xml:space="preserve"> facility experienced an adverse event, and 59% </w:t>
      </w:r>
      <w:r w:rsidR="00D44B19" w:rsidRPr="000E7469">
        <w:rPr>
          <w:rFonts w:cs="Times New Roman"/>
        </w:rPr>
        <w:t xml:space="preserve">of these were preventable with </w:t>
      </w:r>
      <w:r w:rsidR="007F0216" w:rsidRPr="000E7469">
        <w:rPr>
          <w:rFonts w:cs="Times New Roman"/>
        </w:rPr>
        <w:t>better information and processes.</w:t>
      </w:r>
      <w:r w:rsidR="00B248AA" w:rsidRPr="000E7469">
        <w:rPr>
          <w:rFonts w:cs="Times New Roman"/>
          <w:vertAlign w:val="superscript"/>
        </w:rPr>
        <w:t>2</w:t>
      </w:r>
      <w:r w:rsidR="007F0216" w:rsidRPr="000E7469">
        <w:rPr>
          <w:rFonts w:cs="Times New Roman"/>
          <w:vertAlign w:val="superscript"/>
        </w:rPr>
        <w:t xml:space="preserve"> </w:t>
      </w:r>
      <w:r w:rsidR="00D44B19" w:rsidRPr="000E7469">
        <w:rPr>
          <w:rFonts w:cs="Times New Roman"/>
        </w:rPr>
        <w:t>Moreover, the 30-day hospital readmission from nursing homes (26%) is higher than the rate for patients who were discharged home</w:t>
      </w:r>
      <w:r w:rsidR="00B248AA" w:rsidRPr="000E7469">
        <w:rPr>
          <w:rFonts w:cs="Times New Roman"/>
        </w:rPr>
        <w:t>.</w:t>
      </w:r>
      <w:r w:rsidR="007F0216" w:rsidRPr="000E7469">
        <w:rPr>
          <w:rFonts w:cs="Times New Roman"/>
          <w:vertAlign w:val="superscript"/>
        </w:rPr>
        <w:t xml:space="preserve"> </w:t>
      </w:r>
      <w:r w:rsidR="00FE1EA8" w:rsidRPr="000E7469">
        <w:rPr>
          <w:rFonts w:cs="Times New Roman"/>
        </w:rPr>
        <w:t xml:space="preserve">The </w:t>
      </w:r>
      <w:proofErr w:type="gramStart"/>
      <w:r w:rsidR="00AA3BAD" w:rsidRPr="000E7469">
        <w:rPr>
          <w:rFonts w:cs="Times New Roman"/>
        </w:rPr>
        <w:t xml:space="preserve">number of </w:t>
      </w:r>
      <w:r w:rsidR="00FE1EA8" w:rsidRPr="000E7469">
        <w:rPr>
          <w:rFonts w:cs="Times New Roman"/>
        </w:rPr>
        <w:t xml:space="preserve">adverse </w:t>
      </w:r>
      <w:r w:rsidR="00F60789" w:rsidRPr="000E7469">
        <w:rPr>
          <w:rFonts w:cs="Times New Roman"/>
        </w:rPr>
        <w:t xml:space="preserve">events for transitioning patients with dementia </w:t>
      </w:r>
      <w:r w:rsidR="00295A82" w:rsidRPr="000E7469">
        <w:rPr>
          <w:rFonts w:cs="Times New Roman"/>
        </w:rPr>
        <w:t xml:space="preserve">or significant cognitive impairment </w:t>
      </w:r>
      <w:r w:rsidR="00F60789" w:rsidRPr="000E7469">
        <w:rPr>
          <w:rFonts w:cs="Times New Roman"/>
        </w:rPr>
        <w:t>are</w:t>
      </w:r>
      <w:proofErr w:type="gramEnd"/>
      <w:r w:rsidR="00F60789" w:rsidRPr="000E7469">
        <w:rPr>
          <w:rFonts w:cs="Times New Roman"/>
        </w:rPr>
        <w:t xml:space="preserve"> even more alarming. </w:t>
      </w:r>
      <w:r w:rsidR="00D44B19" w:rsidRPr="000E7469">
        <w:rPr>
          <w:rFonts w:cs="Times New Roman"/>
        </w:rPr>
        <w:t>In their recent comprehensive review of this topic</w:t>
      </w:r>
      <w:r w:rsidR="00DA0AB3" w:rsidRPr="000E7469">
        <w:rPr>
          <w:rFonts w:cs="Times New Roman"/>
        </w:rPr>
        <w:t>,</w:t>
      </w:r>
      <w:r w:rsidR="00036173" w:rsidRPr="000E7469">
        <w:rPr>
          <w:rFonts w:cs="Times New Roman"/>
        </w:rPr>
        <w:t xml:space="preserve"> as it pertains to patients with dementia</w:t>
      </w:r>
      <w:r w:rsidR="00D44B19" w:rsidRPr="000E7469">
        <w:rPr>
          <w:rFonts w:cs="Times New Roman"/>
        </w:rPr>
        <w:t>, the American</w:t>
      </w:r>
      <w:r w:rsidR="006B1859">
        <w:rPr>
          <w:rFonts w:cs="Times New Roman"/>
        </w:rPr>
        <w:t xml:space="preserve"> Medical Directors Association</w:t>
      </w:r>
      <w:r w:rsidR="00A976D2">
        <w:rPr>
          <w:rFonts w:cs="Times New Roman"/>
        </w:rPr>
        <w:t xml:space="preserve"> (AMDA)</w:t>
      </w:r>
      <w:r w:rsidR="00D44B19" w:rsidRPr="000E7469">
        <w:rPr>
          <w:rFonts w:cs="Times New Roman"/>
        </w:rPr>
        <w:t xml:space="preserve"> identified several barriers to safe transitions from hospital to nursing home that negatively impact nursing home care.</w:t>
      </w:r>
      <w:r w:rsidR="00B248AA" w:rsidRPr="000E7469">
        <w:rPr>
          <w:rFonts w:cs="Times New Roman"/>
          <w:vertAlign w:val="superscript"/>
        </w:rPr>
        <w:t>3</w:t>
      </w:r>
      <w:r w:rsidR="00B44531" w:rsidRPr="000E7469">
        <w:rPr>
          <w:rFonts w:cs="Times New Roman"/>
        </w:rPr>
        <w:t xml:space="preserve"> </w:t>
      </w:r>
      <w:r w:rsidR="0039063D" w:rsidRPr="000E7469">
        <w:rPr>
          <w:rFonts w:cs="Times New Roman"/>
        </w:rPr>
        <w:t>Chief among these is that nursing homes that admit newly discharged hospital patients often l</w:t>
      </w:r>
      <w:r w:rsidR="00F60789" w:rsidRPr="000E7469">
        <w:rPr>
          <w:rFonts w:cs="Times New Roman"/>
        </w:rPr>
        <w:t xml:space="preserve">ack essential information, particularly </w:t>
      </w:r>
      <w:r w:rsidR="0039063D" w:rsidRPr="000E7469">
        <w:rPr>
          <w:rFonts w:cs="Times New Roman"/>
        </w:rPr>
        <w:t>regarding cognitive status</w:t>
      </w:r>
      <w:r w:rsidR="00D16FCF" w:rsidRPr="000E7469">
        <w:rPr>
          <w:rFonts w:cs="Times New Roman"/>
        </w:rPr>
        <w:t xml:space="preserve">, that impacts person-centered </w:t>
      </w:r>
      <w:r w:rsidR="00B44531" w:rsidRPr="000E7469">
        <w:rPr>
          <w:rFonts w:cs="Times New Roman"/>
        </w:rPr>
        <w:t>c</w:t>
      </w:r>
      <w:r w:rsidR="00D16FCF" w:rsidRPr="000E7469">
        <w:rPr>
          <w:rFonts w:cs="Times New Roman"/>
        </w:rPr>
        <w:t>are</w:t>
      </w:r>
      <w:r w:rsidR="00EF7F2C" w:rsidRPr="000E7469">
        <w:rPr>
          <w:rFonts w:cs="Times New Roman"/>
        </w:rPr>
        <w:t>.</w:t>
      </w:r>
      <w:r w:rsidR="007F0216" w:rsidRPr="000E7469">
        <w:rPr>
          <w:rFonts w:cs="Times New Roman"/>
        </w:rPr>
        <w:t xml:space="preserve"> </w:t>
      </w:r>
    </w:p>
    <w:p w14:paraId="20FEEC35" w14:textId="0DABB44B" w:rsidR="00AA3BAD" w:rsidRPr="000E7469" w:rsidRDefault="00D16FCF" w:rsidP="000E7469">
      <w:pPr>
        <w:spacing w:line="480" w:lineRule="auto"/>
        <w:ind w:firstLine="720"/>
        <w:rPr>
          <w:rFonts w:cs="Times New Roman"/>
        </w:rPr>
      </w:pPr>
      <w:r w:rsidRPr="000E7469">
        <w:rPr>
          <w:rFonts w:cs="Times New Roman"/>
        </w:rPr>
        <w:t xml:space="preserve">Two plausible explanations for the fact </w:t>
      </w:r>
      <w:r w:rsidR="00295A82" w:rsidRPr="000E7469">
        <w:rPr>
          <w:rFonts w:cs="Times New Roman"/>
        </w:rPr>
        <w:t xml:space="preserve">that post-acute nursing homes </w:t>
      </w:r>
      <w:r w:rsidRPr="000E7469">
        <w:rPr>
          <w:rFonts w:cs="Times New Roman"/>
        </w:rPr>
        <w:t>often do not</w:t>
      </w:r>
      <w:r w:rsidR="00295A82" w:rsidRPr="000E7469">
        <w:rPr>
          <w:rFonts w:cs="Times New Roman"/>
        </w:rPr>
        <w:t xml:space="preserve"> receive adequate information regarding the cognitive functioning of residents coming from hospitals </w:t>
      </w:r>
      <w:r w:rsidRPr="000E7469">
        <w:rPr>
          <w:rFonts w:cs="Times New Roman"/>
        </w:rPr>
        <w:t>are</w:t>
      </w:r>
      <w:r w:rsidR="00AA3BAD" w:rsidRPr="000E7469">
        <w:rPr>
          <w:rFonts w:cs="Times New Roman"/>
        </w:rPr>
        <w:t xml:space="preserve">: (1) </w:t>
      </w:r>
      <w:r w:rsidRPr="000E7469">
        <w:rPr>
          <w:rFonts w:cs="Times New Roman"/>
        </w:rPr>
        <w:t xml:space="preserve">the </w:t>
      </w:r>
      <w:r w:rsidR="00AA3BAD" w:rsidRPr="000E7469">
        <w:rPr>
          <w:rFonts w:cs="Times New Roman"/>
        </w:rPr>
        <w:t xml:space="preserve">failure to administer psychometrically robust </w:t>
      </w:r>
      <w:r w:rsidR="00295A82" w:rsidRPr="000E7469">
        <w:rPr>
          <w:rFonts w:cs="Times New Roman"/>
        </w:rPr>
        <w:t xml:space="preserve">cognitive assessment </w:t>
      </w:r>
      <w:r w:rsidR="00AA3BAD" w:rsidRPr="000E7469">
        <w:rPr>
          <w:rFonts w:cs="Times New Roman"/>
        </w:rPr>
        <w:t>instruments</w:t>
      </w:r>
      <w:r w:rsidR="00295A82" w:rsidRPr="000E7469">
        <w:rPr>
          <w:rFonts w:cs="Times New Roman"/>
        </w:rPr>
        <w:t xml:space="preserve"> prior to hospital discharge</w:t>
      </w:r>
      <w:r w:rsidRPr="000E7469">
        <w:rPr>
          <w:rFonts w:cs="Times New Roman"/>
        </w:rPr>
        <w:t xml:space="preserve"> (a failure of knowledge)</w:t>
      </w:r>
      <w:r w:rsidR="00295A82" w:rsidRPr="000E7469">
        <w:rPr>
          <w:rFonts w:cs="Times New Roman"/>
        </w:rPr>
        <w:t xml:space="preserve">, and </w:t>
      </w:r>
      <w:r w:rsidR="00AA3BAD" w:rsidRPr="000E7469">
        <w:rPr>
          <w:rFonts w:cs="Times New Roman"/>
        </w:rPr>
        <w:t xml:space="preserve">(2) </w:t>
      </w:r>
      <w:r w:rsidR="00295A82" w:rsidRPr="000E7469">
        <w:rPr>
          <w:rFonts w:cs="Times New Roman"/>
        </w:rPr>
        <w:t xml:space="preserve">suboptimal communication </w:t>
      </w:r>
      <w:r w:rsidRPr="000E7469">
        <w:rPr>
          <w:rFonts w:cs="Times New Roman"/>
        </w:rPr>
        <w:t xml:space="preserve">of </w:t>
      </w:r>
      <w:r w:rsidR="00740C56" w:rsidRPr="000E7469">
        <w:rPr>
          <w:rFonts w:cs="Times New Roman"/>
        </w:rPr>
        <w:t xml:space="preserve">patients’ </w:t>
      </w:r>
      <w:r w:rsidRPr="000E7469">
        <w:rPr>
          <w:rFonts w:cs="Times New Roman"/>
        </w:rPr>
        <w:t xml:space="preserve">cognitive deficits </w:t>
      </w:r>
      <w:r w:rsidR="00AA3BAD" w:rsidRPr="000E7469">
        <w:rPr>
          <w:rFonts w:cs="Times New Roman"/>
        </w:rPr>
        <w:t>from hospital to post-acute center</w:t>
      </w:r>
      <w:r w:rsidRPr="000E7469">
        <w:rPr>
          <w:rFonts w:cs="Times New Roman"/>
        </w:rPr>
        <w:t xml:space="preserve"> (a failure of information transfer)</w:t>
      </w:r>
      <w:r w:rsidR="00AA3BAD" w:rsidRPr="000E7469">
        <w:rPr>
          <w:rFonts w:cs="Times New Roman"/>
        </w:rPr>
        <w:t>.</w:t>
      </w:r>
      <w:r w:rsidRPr="000E7469">
        <w:rPr>
          <w:rFonts w:cs="Times New Roman"/>
        </w:rPr>
        <w:t xml:space="preserve"> There is evidence </w:t>
      </w:r>
      <w:r w:rsidR="00EF7F2C" w:rsidRPr="000E7469">
        <w:rPr>
          <w:rFonts w:cs="Times New Roman"/>
        </w:rPr>
        <w:t>that h</w:t>
      </w:r>
      <w:r w:rsidR="0039063D" w:rsidRPr="000E7469">
        <w:rPr>
          <w:rFonts w:cs="Times New Roman"/>
        </w:rPr>
        <w:t xml:space="preserve">ospitals typically do not </w:t>
      </w:r>
      <w:r w:rsidR="00AA3BAD" w:rsidRPr="000E7469">
        <w:rPr>
          <w:rFonts w:cs="Times New Roman"/>
        </w:rPr>
        <w:t>adequately</w:t>
      </w:r>
      <w:r w:rsidR="0039063D" w:rsidRPr="000E7469">
        <w:rPr>
          <w:rFonts w:cs="Times New Roman"/>
        </w:rPr>
        <w:t xml:space="preserve"> assess the cognitive abilities of</w:t>
      </w:r>
      <w:r w:rsidRPr="000E7469">
        <w:rPr>
          <w:rFonts w:cs="Times New Roman"/>
        </w:rPr>
        <w:t xml:space="preserve"> patients prior to discharge</w:t>
      </w:r>
      <w:r w:rsidR="007F0216" w:rsidRPr="000E7469">
        <w:rPr>
          <w:rFonts w:cs="Times New Roman"/>
        </w:rPr>
        <w:t>.</w:t>
      </w:r>
      <w:r w:rsidR="00C13120" w:rsidRPr="000E7469">
        <w:rPr>
          <w:rFonts w:cs="Times New Roman"/>
          <w:vertAlign w:val="superscript"/>
        </w:rPr>
        <w:t>4</w:t>
      </w:r>
      <w:r w:rsidR="007F0216" w:rsidRPr="000E7469">
        <w:rPr>
          <w:rFonts w:cs="Times New Roman"/>
        </w:rPr>
        <w:t xml:space="preserve"> </w:t>
      </w:r>
      <w:r w:rsidR="001E4C9D" w:rsidRPr="000E7469">
        <w:rPr>
          <w:rFonts w:cs="Times New Roman"/>
        </w:rPr>
        <w:t xml:space="preserve">Inadequate assessment of older patients’ cognitive functioning </w:t>
      </w:r>
      <w:r w:rsidR="00E123C6">
        <w:rPr>
          <w:rFonts w:cs="Times New Roman"/>
        </w:rPr>
        <w:t>may be the result of</w:t>
      </w:r>
      <w:r w:rsidR="001E4C9D" w:rsidRPr="000E7469">
        <w:rPr>
          <w:rFonts w:cs="Times New Roman"/>
        </w:rPr>
        <w:t xml:space="preserve"> (1) </w:t>
      </w:r>
      <w:r w:rsidRPr="000E7469">
        <w:rPr>
          <w:rFonts w:cs="Times New Roman"/>
        </w:rPr>
        <w:t>the use of</w:t>
      </w:r>
      <w:r w:rsidR="00AA3BAD" w:rsidRPr="000E7469">
        <w:rPr>
          <w:rFonts w:cs="Times New Roman"/>
        </w:rPr>
        <w:t xml:space="preserve"> general cognitive screening tool</w:t>
      </w:r>
      <w:r w:rsidRPr="000E7469">
        <w:rPr>
          <w:rFonts w:cs="Times New Roman"/>
        </w:rPr>
        <w:t>s</w:t>
      </w:r>
      <w:r w:rsidR="00AA3BAD" w:rsidRPr="000E7469">
        <w:rPr>
          <w:rFonts w:cs="Times New Roman"/>
        </w:rPr>
        <w:t xml:space="preserve"> </w:t>
      </w:r>
      <w:r w:rsidRPr="000E7469">
        <w:rPr>
          <w:rFonts w:cs="Times New Roman"/>
        </w:rPr>
        <w:t>(</w:t>
      </w:r>
      <w:r w:rsidR="00AA3BAD" w:rsidRPr="000E7469">
        <w:rPr>
          <w:rFonts w:cs="Times New Roman"/>
        </w:rPr>
        <w:t>rather than more robust cognitive tests</w:t>
      </w:r>
      <w:r w:rsidRPr="000E7469">
        <w:rPr>
          <w:rFonts w:cs="Times New Roman"/>
        </w:rPr>
        <w:t xml:space="preserve">) that </w:t>
      </w:r>
      <w:r w:rsidR="001E4C9D" w:rsidRPr="000E7469">
        <w:rPr>
          <w:rFonts w:cs="Times New Roman"/>
        </w:rPr>
        <w:t>are</w:t>
      </w:r>
      <w:r w:rsidRPr="000E7469">
        <w:rPr>
          <w:rFonts w:cs="Times New Roman"/>
        </w:rPr>
        <w:t xml:space="preserve"> not </w:t>
      </w:r>
      <w:r w:rsidR="001E4C9D" w:rsidRPr="000E7469">
        <w:rPr>
          <w:rFonts w:cs="Times New Roman"/>
        </w:rPr>
        <w:t>sensitive to</w:t>
      </w:r>
      <w:r w:rsidRPr="000E7469">
        <w:rPr>
          <w:rFonts w:cs="Times New Roman"/>
        </w:rPr>
        <w:t xml:space="preserve"> specific cognitive domains (e.g., </w:t>
      </w:r>
      <w:r w:rsidRPr="000E7469">
        <w:rPr>
          <w:rFonts w:cs="Times New Roman"/>
        </w:rPr>
        <w:lastRenderedPageBreak/>
        <w:t>memory, executive functions)</w:t>
      </w:r>
      <w:r w:rsidR="001E4C9D" w:rsidRPr="000E7469">
        <w:rPr>
          <w:rFonts w:cs="Times New Roman"/>
        </w:rPr>
        <w:t xml:space="preserve"> that influence functional abilities (IADLs, ADLs); and</w:t>
      </w:r>
      <w:r w:rsidRPr="000E7469">
        <w:rPr>
          <w:rFonts w:cs="Times New Roman"/>
        </w:rPr>
        <w:t xml:space="preserve"> more commonly, </w:t>
      </w:r>
      <w:r w:rsidR="00E123C6">
        <w:rPr>
          <w:rFonts w:cs="Times New Roman"/>
        </w:rPr>
        <w:t xml:space="preserve">(2) </w:t>
      </w:r>
      <w:r w:rsidRPr="000E7469">
        <w:rPr>
          <w:rFonts w:cs="Times New Roman"/>
        </w:rPr>
        <w:t>the failure to use any standardized cognitive instrument</w:t>
      </w:r>
      <w:r w:rsidR="007F0216" w:rsidRPr="000E7469">
        <w:rPr>
          <w:rFonts w:cs="Times New Roman"/>
        </w:rPr>
        <w:t>.</w:t>
      </w:r>
      <w:r w:rsidR="00F14D26" w:rsidRPr="000E7469">
        <w:rPr>
          <w:rFonts w:cs="Times New Roman"/>
          <w:vertAlign w:val="superscript"/>
        </w:rPr>
        <w:t>5</w:t>
      </w:r>
      <w:r w:rsidR="007F0216" w:rsidRPr="000E7469">
        <w:rPr>
          <w:rFonts w:cs="Times New Roman"/>
        </w:rPr>
        <w:t xml:space="preserve"> </w:t>
      </w:r>
      <w:r w:rsidR="00043862" w:rsidRPr="000E7469">
        <w:rPr>
          <w:rFonts w:cs="Times New Roman"/>
        </w:rPr>
        <w:t xml:space="preserve">In terms of transferring information regarding patients’ known cognitive functioning, </w:t>
      </w:r>
      <w:r w:rsidR="00AA3BAD" w:rsidRPr="000E7469">
        <w:rPr>
          <w:rFonts w:cs="Times New Roman"/>
        </w:rPr>
        <w:t xml:space="preserve">there is ample evidence that </w:t>
      </w:r>
      <w:r w:rsidR="00043862" w:rsidRPr="000E7469">
        <w:rPr>
          <w:rFonts w:cs="Times New Roman"/>
        </w:rPr>
        <w:t>such information i</w:t>
      </w:r>
      <w:r w:rsidR="00B248AA" w:rsidRPr="000E7469">
        <w:rPr>
          <w:rFonts w:cs="Times New Roman"/>
        </w:rPr>
        <w:t>s</w:t>
      </w:r>
      <w:r w:rsidR="00043862" w:rsidRPr="000E7469">
        <w:rPr>
          <w:rFonts w:cs="Times New Roman"/>
        </w:rPr>
        <w:t xml:space="preserve"> transferred simultaneous to the arrival of the transferred patient, not prior to admission.</w:t>
      </w:r>
      <w:r w:rsidR="007F0216" w:rsidRPr="000E7469">
        <w:rPr>
          <w:rFonts w:cs="Times New Roman"/>
        </w:rPr>
        <w:t xml:space="preserve"> </w:t>
      </w:r>
      <w:r w:rsidR="00AA3BAD" w:rsidRPr="000E7469">
        <w:rPr>
          <w:rFonts w:cs="Times New Roman"/>
        </w:rPr>
        <w:t xml:space="preserve">One of the recommendations from the AMDA white paper regarding such hospital to post-acute settings is to transfer vital patient information </w:t>
      </w:r>
      <w:r w:rsidR="00AA3BAD" w:rsidRPr="000E7469">
        <w:rPr>
          <w:rFonts w:cs="Times New Roman"/>
          <w:i/>
        </w:rPr>
        <w:t>prior</w:t>
      </w:r>
      <w:r w:rsidR="00AA3BAD" w:rsidRPr="000E7469">
        <w:rPr>
          <w:rFonts w:cs="Times New Roman"/>
        </w:rPr>
        <w:t xml:space="preserve"> to post-acute admission to better prepare treatment plans.</w:t>
      </w:r>
      <w:r w:rsidR="007F0216" w:rsidRPr="000E7469">
        <w:rPr>
          <w:rFonts w:cs="Times New Roman"/>
        </w:rPr>
        <w:t xml:space="preserve"> </w:t>
      </w:r>
    </w:p>
    <w:p w14:paraId="50871B9C" w14:textId="125B7708" w:rsidR="00F60789" w:rsidRPr="000E7469" w:rsidRDefault="00036173" w:rsidP="000E7469">
      <w:pPr>
        <w:spacing w:line="480" w:lineRule="auto"/>
        <w:ind w:firstLine="720"/>
        <w:rPr>
          <w:rFonts w:cs="Times New Roman"/>
        </w:rPr>
      </w:pPr>
      <w:r w:rsidRPr="000E7469">
        <w:rPr>
          <w:rFonts w:cs="Times New Roman"/>
        </w:rPr>
        <w:t xml:space="preserve">There is also </w:t>
      </w:r>
      <w:r w:rsidR="00F14D26" w:rsidRPr="000E7469">
        <w:rPr>
          <w:rFonts w:cs="Times New Roman"/>
        </w:rPr>
        <w:t xml:space="preserve">ample </w:t>
      </w:r>
      <w:r w:rsidRPr="000E7469">
        <w:rPr>
          <w:rFonts w:cs="Times New Roman"/>
        </w:rPr>
        <w:t xml:space="preserve">evidence that </w:t>
      </w:r>
      <w:r w:rsidR="006153A9" w:rsidRPr="000E7469">
        <w:rPr>
          <w:rFonts w:cs="Times New Roman"/>
        </w:rPr>
        <w:t>post-acute</w:t>
      </w:r>
      <w:r w:rsidRPr="000E7469">
        <w:rPr>
          <w:rFonts w:cs="Times New Roman"/>
        </w:rPr>
        <w:t xml:space="preserve"> </w:t>
      </w:r>
      <w:r w:rsidR="006153A9" w:rsidRPr="000E7469">
        <w:rPr>
          <w:rFonts w:cs="Times New Roman"/>
        </w:rPr>
        <w:t xml:space="preserve">rehabilitation </w:t>
      </w:r>
      <w:r w:rsidRPr="000E7469">
        <w:rPr>
          <w:rFonts w:cs="Times New Roman"/>
        </w:rPr>
        <w:t xml:space="preserve">patients who have cognitive impairment are particularly vulnerable to adverse effects when they transition </w:t>
      </w:r>
      <w:r w:rsidR="006153A9" w:rsidRPr="000E7469">
        <w:rPr>
          <w:rFonts w:cs="Times New Roman"/>
        </w:rPr>
        <w:t xml:space="preserve">from </w:t>
      </w:r>
      <w:r w:rsidRPr="000E7469">
        <w:rPr>
          <w:rFonts w:cs="Times New Roman"/>
        </w:rPr>
        <w:t>nursing home to the community</w:t>
      </w:r>
      <w:r w:rsidR="00F14D26" w:rsidRPr="000E7469">
        <w:rPr>
          <w:rFonts w:cs="Times New Roman"/>
        </w:rPr>
        <w:t xml:space="preserve">, </w:t>
      </w:r>
      <w:r w:rsidR="006153A9" w:rsidRPr="000E7469">
        <w:rPr>
          <w:rFonts w:cs="Times New Roman"/>
        </w:rPr>
        <w:t>especially</w:t>
      </w:r>
      <w:r w:rsidR="00F14D26" w:rsidRPr="000E7469">
        <w:rPr>
          <w:rFonts w:cs="Times New Roman"/>
        </w:rPr>
        <w:t xml:space="preserve"> risk for hospital re-admission</w:t>
      </w:r>
      <w:r w:rsidR="007F0216" w:rsidRPr="000E7469">
        <w:rPr>
          <w:rFonts w:cs="Times New Roman"/>
        </w:rPr>
        <w:t>.</w:t>
      </w:r>
      <w:r w:rsidR="00F14D26" w:rsidRPr="000E7469">
        <w:rPr>
          <w:rFonts w:cs="Times New Roman"/>
          <w:vertAlign w:val="superscript"/>
        </w:rPr>
        <w:t>6</w:t>
      </w:r>
      <w:r w:rsidR="007F0216" w:rsidRPr="000E7469">
        <w:rPr>
          <w:rFonts w:cs="Times New Roman"/>
        </w:rPr>
        <w:t xml:space="preserve"> </w:t>
      </w:r>
      <w:r w:rsidR="00D44B19" w:rsidRPr="000E7469">
        <w:rPr>
          <w:rFonts w:cs="Times New Roman"/>
        </w:rPr>
        <w:t>The i</w:t>
      </w:r>
      <w:r w:rsidR="00F60789" w:rsidRPr="000E7469">
        <w:rPr>
          <w:rFonts w:cs="Times New Roman"/>
        </w:rPr>
        <w:t xml:space="preserve">mportance of improving care transitions for patients with cognitive impairment </w:t>
      </w:r>
      <w:r w:rsidR="004760CA" w:rsidRPr="000E7469">
        <w:rPr>
          <w:rFonts w:cs="Times New Roman"/>
        </w:rPr>
        <w:t xml:space="preserve">making this </w:t>
      </w:r>
      <w:r w:rsidR="004760CA" w:rsidRPr="000E7469">
        <w:rPr>
          <w:rFonts w:cs="Times New Roman"/>
          <w:i/>
        </w:rPr>
        <w:t xml:space="preserve">second </w:t>
      </w:r>
      <w:r w:rsidR="004760CA" w:rsidRPr="000E7469">
        <w:rPr>
          <w:rFonts w:cs="Times New Roman"/>
        </w:rPr>
        <w:t xml:space="preserve">transition </w:t>
      </w:r>
      <w:r w:rsidR="006153A9" w:rsidRPr="000E7469">
        <w:rPr>
          <w:rFonts w:cs="Times New Roman"/>
        </w:rPr>
        <w:t xml:space="preserve">is </w:t>
      </w:r>
      <w:r w:rsidR="004760CA" w:rsidRPr="000E7469">
        <w:rPr>
          <w:rFonts w:cs="Times New Roman"/>
        </w:rPr>
        <w:t>less studied, but no less important than the first transition (hospital to post-acute setting)</w:t>
      </w:r>
      <w:r w:rsidR="00F60789" w:rsidRPr="000E7469">
        <w:rPr>
          <w:rFonts w:cs="Times New Roman"/>
        </w:rPr>
        <w:t>.</w:t>
      </w:r>
      <w:r w:rsidR="00D44B19" w:rsidRPr="000E7469">
        <w:rPr>
          <w:rFonts w:cs="Times New Roman"/>
        </w:rPr>
        <w:t xml:space="preserve"> </w:t>
      </w:r>
      <w:r w:rsidR="001675BD" w:rsidRPr="000E7469">
        <w:rPr>
          <w:rFonts w:cs="Times New Roman"/>
        </w:rPr>
        <w:t>Each year, m</w:t>
      </w:r>
      <w:r w:rsidR="004244E8" w:rsidRPr="000E7469">
        <w:rPr>
          <w:rFonts w:cs="Times New Roman"/>
        </w:rPr>
        <w:t>ore than 1.5</w:t>
      </w:r>
      <w:r w:rsidR="00E56C62" w:rsidRPr="000E7469">
        <w:rPr>
          <w:rFonts w:cs="Times New Roman"/>
        </w:rPr>
        <w:t xml:space="preserve"> million Americans (mostly older adults) transition from hospitals to sub-acute rehabilitation programs in nursing homes</w:t>
      </w:r>
      <w:r w:rsidR="004244E8" w:rsidRPr="000E7469">
        <w:rPr>
          <w:rFonts w:cs="Times New Roman"/>
        </w:rPr>
        <w:t xml:space="preserve"> and approximately </w:t>
      </w:r>
      <w:r w:rsidR="00311BFD" w:rsidRPr="000E7469">
        <w:rPr>
          <w:rFonts w:cs="Times New Roman"/>
        </w:rPr>
        <w:t>one</w:t>
      </w:r>
      <w:r w:rsidR="004244E8" w:rsidRPr="000E7469">
        <w:rPr>
          <w:rFonts w:cs="Times New Roman"/>
        </w:rPr>
        <w:t xml:space="preserve"> million then transition </w:t>
      </w:r>
      <w:r w:rsidR="00D66CE6" w:rsidRPr="000E7469">
        <w:rPr>
          <w:rFonts w:cs="Times New Roman"/>
        </w:rPr>
        <w:t>from the nursing home to community dwellings</w:t>
      </w:r>
      <w:r w:rsidR="007F0216" w:rsidRPr="000E7469">
        <w:rPr>
          <w:rFonts w:cs="Times New Roman"/>
        </w:rPr>
        <w:t>.</w:t>
      </w:r>
      <w:r w:rsidR="004244E8" w:rsidRPr="000E7469">
        <w:rPr>
          <w:rFonts w:cs="Times New Roman"/>
          <w:vertAlign w:val="superscript"/>
        </w:rPr>
        <w:t>7</w:t>
      </w:r>
      <w:r w:rsidR="00E56C62" w:rsidRPr="000E7469">
        <w:rPr>
          <w:rFonts w:cs="Times New Roman"/>
        </w:rPr>
        <w:t xml:space="preserve"> </w:t>
      </w:r>
      <w:r w:rsidR="00401531" w:rsidRPr="000E7469">
        <w:rPr>
          <w:rFonts w:cs="Times New Roman"/>
        </w:rPr>
        <w:t xml:space="preserve">Two common patient clinical characteristics </w:t>
      </w:r>
      <w:r w:rsidR="00840E26" w:rsidRPr="000E7469">
        <w:rPr>
          <w:rFonts w:cs="Times New Roman"/>
        </w:rPr>
        <w:t xml:space="preserve">that </w:t>
      </w:r>
      <w:r w:rsidR="00401531" w:rsidRPr="000E7469">
        <w:rPr>
          <w:rFonts w:cs="Times New Roman"/>
        </w:rPr>
        <w:t xml:space="preserve">are known to complicate both </w:t>
      </w:r>
      <w:r w:rsidR="00F60789" w:rsidRPr="000E7469">
        <w:rPr>
          <w:rFonts w:cs="Times New Roman"/>
        </w:rPr>
        <w:t>post</w:t>
      </w:r>
      <w:r w:rsidR="0060696A" w:rsidRPr="000E7469">
        <w:rPr>
          <w:rFonts w:cs="Times New Roman"/>
        </w:rPr>
        <w:t>-</w:t>
      </w:r>
      <w:r w:rsidR="00401531" w:rsidRPr="000E7469">
        <w:rPr>
          <w:rFonts w:cs="Times New Roman"/>
        </w:rPr>
        <w:t xml:space="preserve">acute </w:t>
      </w:r>
      <w:r w:rsidR="00840E26" w:rsidRPr="000E7469">
        <w:rPr>
          <w:rFonts w:cs="Times New Roman"/>
        </w:rPr>
        <w:t xml:space="preserve">outcomes </w:t>
      </w:r>
      <w:r w:rsidR="00401531" w:rsidRPr="000E7469">
        <w:rPr>
          <w:rFonts w:cs="Times New Roman"/>
        </w:rPr>
        <w:t xml:space="preserve">and </w:t>
      </w:r>
      <w:r w:rsidR="00840E26" w:rsidRPr="000E7469">
        <w:rPr>
          <w:rFonts w:cs="Times New Roman"/>
        </w:rPr>
        <w:t>successful post-nursing home transitions are c</w:t>
      </w:r>
      <w:r w:rsidR="00E213B7" w:rsidRPr="000E7469">
        <w:rPr>
          <w:rFonts w:cs="Times New Roman"/>
        </w:rPr>
        <w:t>ognitive impairment and mood dysfunction (especially depression and anxiety)</w:t>
      </w:r>
      <w:r w:rsidR="00F976AC" w:rsidRPr="000E7469">
        <w:rPr>
          <w:rFonts w:cs="Times New Roman"/>
        </w:rPr>
        <w:t>.</w:t>
      </w:r>
      <w:r w:rsidR="007F0216" w:rsidRPr="000E7469">
        <w:rPr>
          <w:rFonts w:cs="Times New Roman"/>
        </w:rPr>
        <w:t xml:space="preserve"> </w:t>
      </w:r>
      <w:r w:rsidR="00F60789" w:rsidRPr="000E7469">
        <w:rPr>
          <w:rFonts w:cs="Times New Roman"/>
        </w:rPr>
        <w:t>Given the high base rate of impairment in both spheres</w:t>
      </w:r>
      <w:proofErr w:type="gramStart"/>
      <w:r w:rsidR="007F0216" w:rsidRPr="000E7469">
        <w:rPr>
          <w:rFonts w:cs="Times New Roman"/>
        </w:rPr>
        <w:t>,</w:t>
      </w:r>
      <w:r w:rsidR="00D66CE6" w:rsidRPr="000E7469">
        <w:rPr>
          <w:rFonts w:cs="Times New Roman"/>
          <w:vertAlign w:val="superscript"/>
        </w:rPr>
        <w:t>8</w:t>
      </w:r>
      <w:proofErr w:type="gramEnd"/>
      <w:r w:rsidR="00F60789" w:rsidRPr="000E7469">
        <w:rPr>
          <w:rFonts w:cs="Times New Roman"/>
        </w:rPr>
        <w:t xml:space="preserve"> it is vital that </w:t>
      </w:r>
      <w:r w:rsidR="00262F75" w:rsidRPr="000E7469">
        <w:rPr>
          <w:rFonts w:cs="Times New Roman"/>
        </w:rPr>
        <w:t xml:space="preserve">useful </w:t>
      </w:r>
      <w:r w:rsidR="00F60789" w:rsidRPr="000E7469">
        <w:rPr>
          <w:rFonts w:cs="Times New Roman"/>
        </w:rPr>
        <w:t xml:space="preserve">information regarding cognition and mood be part of the “information transfer” </w:t>
      </w:r>
      <w:r w:rsidR="000D1949">
        <w:rPr>
          <w:rFonts w:cs="Times New Roman"/>
        </w:rPr>
        <w:t>between care</w:t>
      </w:r>
      <w:r w:rsidR="00F60789" w:rsidRPr="000E7469">
        <w:rPr>
          <w:rFonts w:cs="Times New Roman"/>
        </w:rPr>
        <w:t xml:space="preserve"> setting</w:t>
      </w:r>
      <w:r w:rsidR="000D1949">
        <w:rPr>
          <w:rFonts w:cs="Times New Roman"/>
        </w:rPr>
        <w:t>s</w:t>
      </w:r>
      <w:r w:rsidR="00F60789" w:rsidRPr="000E7469">
        <w:rPr>
          <w:rFonts w:cs="Times New Roman"/>
        </w:rPr>
        <w:t>.</w:t>
      </w:r>
      <w:r w:rsidR="007F0216" w:rsidRPr="000E7469">
        <w:rPr>
          <w:rFonts w:cs="Times New Roman"/>
        </w:rPr>
        <w:t xml:space="preserve"> </w:t>
      </w:r>
      <w:r w:rsidR="00F60789" w:rsidRPr="000E7469">
        <w:rPr>
          <w:rFonts w:cs="Times New Roman"/>
        </w:rPr>
        <w:t>As the AMDA report makes clear, this is not currently happening. One way to correct this problem is to identify what types of information regarding cognitive and mood functioning is needed</w:t>
      </w:r>
      <w:r w:rsidR="00262F75" w:rsidRPr="000E7469">
        <w:rPr>
          <w:rFonts w:cs="Times New Roman"/>
        </w:rPr>
        <w:t xml:space="preserve"> to improve nursing home care and reduce adverse events both in the post-acute facilities and in community dwellings</w:t>
      </w:r>
      <w:r w:rsidR="00F60789" w:rsidRPr="000E7469">
        <w:rPr>
          <w:rFonts w:cs="Times New Roman"/>
        </w:rPr>
        <w:t xml:space="preserve">. </w:t>
      </w:r>
    </w:p>
    <w:p w14:paraId="6B72623D" w14:textId="2517206D" w:rsidR="00E16C73" w:rsidRPr="000E7469" w:rsidRDefault="00F60789" w:rsidP="000E7469">
      <w:pPr>
        <w:spacing w:line="480" w:lineRule="auto"/>
        <w:ind w:firstLine="720"/>
        <w:rPr>
          <w:rFonts w:cs="Times New Roman"/>
        </w:rPr>
      </w:pPr>
      <w:r w:rsidRPr="000E7469">
        <w:rPr>
          <w:rFonts w:cs="Times New Roman"/>
        </w:rPr>
        <w:lastRenderedPageBreak/>
        <w:t xml:space="preserve">The current project </w:t>
      </w:r>
      <w:r w:rsidR="000D76D6" w:rsidRPr="000E7469">
        <w:rPr>
          <w:rFonts w:cs="Times New Roman"/>
        </w:rPr>
        <w:t>was</w:t>
      </w:r>
      <w:r w:rsidR="00036173" w:rsidRPr="000E7469">
        <w:rPr>
          <w:rFonts w:cs="Times New Roman"/>
        </w:rPr>
        <w:t xml:space="preserve"> de</w:t>
      </w:r>
      <w:r w:rsidR="00EF7F2C" w:rsidRPr="000E7469">
        <w:rPr>
          <w:rFonts w:cs="Times New Roman"/>
        </w:rPr>
        <w:t xml:space="preserve">signed to </w:t>
      </w:r>
      <w:r w:rsidR="008D3A42" w:rsidRPr="000E7469">
        <w:rPr>
          <w:rFonts w:cs="Times New Roman"/>
        </w:rPr>
        <w:t xml:space="preserve">help </w:t>
      </w:r>
      <w:r w:rsidR="00B44152" w:rsidRPr="000E7469">
        <w:rPr>
          <w:rFonts w:cs="Times New Roman"/>
        </w:rPr>
        <w:t xml:space="preserve">Maryland </w:t>
      </w:r>
      <w:r w:rsidR="008D3A42" w:rsidRPr="000E7469">
        <w:rPr>
          <w:rFonts w:cs="Times New Roman"/>
        </w:rPr>
        <w:t>stakeholders better understand how two transitions in care occur for Maryland patients</w:t>
      </w:r>
      <w:r w:rsidR="000002A5" w:rsidRPr="000E7469">
        <w:rPr>
          <w:rFonts w:cs="Times New Roman"/>
        </w:rPr>
        <w:t xml:space="preserve">: post-acute short stay rehabilitation patients who transition from hospital to center, and again from center to home in the community. </w:t>
      </w:r>
      <w:r w:rsidR="00B44152" w:rsidRPr="000E7469">
        <w:rPr>
          <w:rFonts w:cs="Times New Roman"/>
        </w:rPr>
        <w:t>Our aim was to ask key staff in post-acute nursing homes about the quality, quantity, and timeliness of discharge information</w:t>
      </w:r>
      <w:r w:rsidR="005C5CF4" w:rsidRPr="000E7469">
        <w:rPr>
          <w:rFonts w:cs="Times New Roman"/>
        </w:rPr>
        <w:t xml:space="preserve"> they receive from hospitals and subsequently provide in their discharges post-nursing home care,</w:t>
      </w:r>
      <w:r w:rsidR="00B44152" w:rsidRPr="000E7469">
        <w:rPr>
          <w:rFonts w:cs="Times New Roman"/>
        </w:rPr>
        <w:t xml:space="preserve"> especially as it pertains to cognitive and mood functioning</w:t>
      </w:r>
      <w:r w:rsidR="005C5CF4" w:rsidRPr="000E7469">
        <w:rPr>
          <w:rFonts w:cs="Times New Roman"/>
        </w:rPr>
        <w:t>.</w:t>
      </w:r>
      <w:r w:rsidR="00B44152" w:rsidRPr="000E7469">
        <w:rPr>
          <w:rFonts w:cs="Times New Roman"/>
        </w:rPr>
        <w:t xml:space="preserve"> </w:t>
      </w:r>
      <w:r w:rsidR="008D3A42" w:rsidRPr="000E7469">
        <w:rPr>
          <w:rFonts w:cs="Times New Roman"/>
        </w:rPr>
        <w:t xml:space="preserve">We </w:t>
      </w:r>
      <w:r w:rsidR="00EF7F2C" w:rsidRPr="000E7469">
        <w:rPr>
          <w:rFonts w:cs="Times New Roman"/>
        </w:rPr>
        <w:t>investigate</w:t>
      </w:r>
      <w:r w:rsidR="008D3A42" w:rsidRPr="000E7469">
        <w:rPr>
          <w:rFonts w:cs="Times New Roman"/>
        </w:rPr>
        <w:t>d</w:t>
      </w:r>
      <w:r w:rsidR="00EF7F2C" w:rsidRPr="000E7469">
        <w:rPr>
          <w:rFonts w:cs="Times New Roman"/>
        </w:rPr>
        <w:t xml:space="preserve"> </w:t>
      </w:r>
      <w:r w:rsidR="00C94B78" w:rsidRPr="000E7469">
        <w:rPr>
          <w:rFonts w:cs="Times New Roman"/>
        </w:rPr>
        <w:t>five</w:t>
      </w:r>
      <w:r w:rsidR="00EF7F2C" w:rsidRPr="000E7469">
        <w:rPr>
          <w:rFonts w:cs="Times New Roman"/>
        </w:rPr>
        <w:t xml:space="preserve"> basic questions</w:t>
      </w:r>
      <w:r w:rsidR="00036173" w:rsidRPr="000E7469">
        <w:rPr>
          <w:rFonts w:cs="Times New Roman"/>
        </w:rPr>
        <w:t>.</w:t>
      </w:r>
      <w:r w:rsidR="007F0216" w:rsidRPr="000E7469">
        <w:rPr>
          <w:rFonts w:cs="Times New Roman"/>
        </w:rPr>
        <w:t xml:space="preserve"> </w:t>
      </w:r>
      <w:proofErr w:type="gramStart"/>
      <w:r w:rsidR="00E16C73" w:rsidRPr="000E7469">
        <w:rPr>
          <w:rFonts w:cs="Times New Roman"/>
        </w:rPr>
        <w:t xml:space="preserve">Those that </w:t>
      </w:r>
      <w:r w:rsidR="005C5CF4" w:rsidRPr="000E7469">
        <w:rPr>
          <w:rFonts w:cs="Times New Roman"/>
        </w:rPr>
        <w:t xml:space="preserve">relate </w:t>
      </w:r>
      <w:r w:rsidR="00E16C73" w:rsidRPr="000E7469">
        <w:rPr>
          <w:rFonts w:cs="Times New Roman"/>
        </w:rPr>
        <w:t>to cognitive information track closely to the AMDA white paper literature review and recommendations</w:t>
      </w:r>
      <w:r w:rsidR="00E123C6">
        <w:rPr>
          <w:rFonts w:cs="Times New Roman"/>
        </w:rPr>
        <w:t xml:space="preserve"> with respect to hospital discharge to post-acute settings</w:t>
      </w:r>
      <w:r w:rsidR="00E16C73" w:rsidRPr="000E7469">
        <w:rPr>
          <w:rFonts w:cs="Times New Roman"/>
        </w:rPr>
        <w:t>.</w:t>
      </w:r>
      <w:proofErr w:type="gramEnd"/>
      <w:r w:rsidR="00E16C73" w:rsidRPr="000E7469">
        <w:rPr>
          <w:rFonts w:cs="Times New Roman"/>
        </w:rPr>
        <w:t xml:space="preserve"> We added questions about spousal caregivers and about mood functioning, as both impact on adverse events for discharging patients. </w:t>
      </w:r>
    </w:p>
    <w:p w14:paraId="06FE6BC6" w14:textId="5F1C74C5" w:rsidR="001D6DF9" w:rsidRPr="000E7469" w:rsidRDefault="00F60789" w:rsidP="000E7469">
      <w:pPr>
        <w:spacing w:line="480" w:lineRule="auto"/>
        <w:ind w:firstLine="720"/>
        <w:rPr>
          <w:rFonts w:cs="Times New Roman"/>
        </w:rPr>
      </w:pPr>
      <w:r w:rsidRPr="000E7469">
        <w:rPr>
          <w:rFonts w:cs="Times New Roman"/>
        </w:rPr>
        <w:t xml:space="preserve">Through an online survey, </w:t>
      </w:r>
      <w:r w:rsidR="002338E3">
        <w:rPr>
          <w:rFonts w:cs="Times New Roman"/>
        </w:rPr>
        <w:t>participants</w:t>
      </w:r>
      <w:r w:rsidR="00E4651D" w:rsidRPr="000E7469">
        <w:rPr>
          <w:rFonts w:cs="Times New Roman"/>
        </w:rPr>
        <w:t xml:space="preserve"> representing </w:t>
      </w:r>
      <w:r w:rsidR="000D76D6" w:rsidRPr="000E7469">
        <w:rPr>
          <w:rFonts w:cs="Times New Roman"/>
        </w:rPr>
        <w:t>38</w:t>
      </w:r>
      <w:r w:rsidRPr="000E7469">
        <w:rPr>
          <w:rFonts w:cs="Times New Roman"/>
        </w:rPr>
        <w:t xml:space="preserve"> </w:t>
      </w:r>
      <w:r w:rsidR="000D76D6" w:rsidRPr="000E7469">
        <w:rPr>
          <w:rFonts w:cs="Times New Roman"/>
        </w:rPr>
        <w:t xml:space="preserve">skilled nursing facilities (inclusive of one </w:t>
      </w:r>
      <w:r w:rsidR="00820BAE">
        <w:rPr>
          <w:rFonts w:cs="Times New Roman"/>
        </w:rPr>
        <w:t>Continuing Care Retirement Community</w:t>
      </w:r>
      <w:r w:rsidR="000D76D6" w:rsidRPr="000E7469">
        <w:rPr>
          <w:rFonts w:cs="Times New Roman"/>
        </w:rPr>
        <w:t>)</w:t>
      </w:r>
      <w:r w:rsidR="00497003" w:rsidRPr="000E7469">
        <w:rPr>
          <w:rFonts w:cs="Times New Roman"/>
        </w:rPr>
        <w:t>,</w:t>
      </w:r>
      <w:r w:rsidR="000D76D6" w:rsidRPr="000E7469">
        <w:rPr>
          <w:rFonts w:cs="Times New Roman"/>
        </w:rPr>
        <w:t xml:space="preserve"> answered questions </w:t>
      </w:r>
      <w:r w:rsidR="00B9511F" w:rsidRPr="000E7469">
        <w:rPr>
          <w:rFonts w:cs="Times New Roman"/>
        </w:rPr>
        <w:t>about</w:t>
      </w:r>
      <w:r w:rsidR="000D76D6" w:rsidRPr="000E7469">
        <w:rPr>
          <w:rFonts w:cs="Times New Roman"/>
        </w:rPr>
        <w:t xml:space="preserve"> short stay rehabilitation residents.</w:t>
      </w:r>
      <w:r w:rsidR="007F0216" w:rsidRPr="000E7469">
        <w:rPr>
          <w:rFonts w:cs="Times New Roman"/>
        </w:rPr>
        <w:t xml:space="preserve"> </w:t>
      </w:r>
      <w:r w:rsidR="00C94B78" w:rsidRPr="000E7469">
        <w:rPr>
          <w:rFonts w:cs="Times New Roman"/>
        </w:rPr>
        <w:t>This</w:t>
      </w:r>
      <w:r w:rsidR="00497003" w:rsidRPr="000E7469">
        <w:rPr>
          <w:rFonts w:cs="Times New Roman"/>
        </w:rPr>
        <w:t xml:space="preserve"> study </w:t>
      </w:r>
      <w:r w:rsidR="00C94B78" w:rsidRPr="000E7469">
        <w:rPr>
          <w:rFonts w:cs="Times New Roman"/>
        </w:rPr>
        <w:t>was designed</w:t>
      </w:r>
      <w:r w:rsidR="00497003" w:rsidRPr="000E7469">
        <w:rPr>
          <w:rFonts w:cs="Times New Roman"/>
        </w:rPr>
        <w:t xml:space="preserve"> to identify how post-acute rehabilitation centers rated the importance and quality of cognitive and mood information as it pertains to their residents. </w:t>
      </w:r>
      <w:r w:rsidR="00FE502E" w:rsidRPr="000E7469">
        <w:rPr>
          <w:rFonts w:cs="Times New Roman"/>
        </w:rPr>
        <w:t xml:space="preserve">A </w:t>
      </w:r>
      <w:r w:rsidR="00014058" w:rsidRPr="000E7469">
        <w:rPr>
          <w:rFonts w:cs="Times New Roman"/>
        </w:rPr>
        <w:t xml:space="preserve">final </w:t>
      </w:r>
      <w:r w:rsidR="00497003" w:rsidRPr="000E7469">
        <w:rPr>
          <w:rFonts w:cs="Times New Roman"/>
        </w:rPr>
        <w:t>goal of this project was</w:t>
      </w:r>
      <w:r w:rsidR="00FE502E" w:rsidRPr="000E7469">
        <w:rPr>
          <w:rFonts w:cs="Times New Roman"/>
        </w:rPr>
        <w:t xml:space="preserve"> to create a tool kit of preferred or “best practice” features regarding the transition processes from hospital to </w:t>
      </w:r>
      <w:r w:rsidR="006B1859">
        <w:rPr>
          <w:rFonts w:cs="Times New Roman"/>
        </w:rPr>
        <w:t>nursing home</w:t>
      </w:r>
      <w:r w:rsidR="00FE502E" w:rsidRPr="000E7469">
        <w:rPr>
          <w:rFonts w:cs="Times New Roman"/>
        </w:rPr>
        <w:t xml:space="preserve">, and </w:t>
      </w:r>
      <w:r w:rsidR="006B1859">
        <w:rPr>
          <w:rFonts w:cs="Times New Roman"/>
        </w:rPr>
        <w:t>from nursing home</w:t>
      </w:r>
      <w:r w:rsidR="00FE502E" w:rsidRPr="000E7469">
        <w:rPr>
          <w:rFonts w:cs="Times New Roman"/>
        </w:rPr>
        <w:t xml:space="preserve"> to community dwelling.</w:t>
      </w:r>
      <w:r w:rsidR="007F0216" w:rsidRPr="000E7469">
        <w:rPr>
          <w:rFonts w:cs="Times New Roman"/>
        </w:rPr>
        <w:t xml:space="preserve"> </w:t>
      </w:r>
    </w:p>
    <w:p w14:paraId="0814E48D" w14:textId="6951936C" w:rsidR="0064560E" w:rsidRPr="0064560E" w:rsidRDefault="0064560E" w:rsidP="0064560E">
      <w:pPr>
        <w:spacing w:line="480" w:lineRule="auto"/>
        <w:outlineLvl w:val="0"/>
        <w:rPr>
          <w:rFonts w:cs="Times New Roman"/>
          <w:b/>
        </w:rPr>
      </w:pPr>
      <w:r w:rsidRPr="0064560E">
        <w:rPr>
          <w:rFonts w:cs="Times New Roman"/>
          <w:b/>
        </w:rPr>
        <w:t>Core questions</w:t>
      </w:r>
    </w:p>
    <w:p w14:paraId="7F4B38A2" w14:textId="79918606" w:rsidR="00E750B5" w:rsidRPr="0064560E" w:rsidRDefault="00E750B5" w:rsidP="0064560E">
      <w:pPr>
        <w:spacing w:line="480" w:lineRule="auto"/>
        <w:ind w:firstLine="360"/>
        <w:outlineLvl w:val="0"/>
        <w:rPr>
          <w:rFonts w:cs="Times New Roman"/>
          <w:b/>
        </w:rPr>
      </w:pPr>
      <w:r w:rsidRPr="0064560E">
        <w:rPr>
          <w:rFonts w:cs="Times New Roman"/>
          <w:b/>
        </w:rPr>
        <w:t>Transfer from hospital to post-acute nursing home</w:t>
      </w:r>
      <w:r w:rsidR="0064560E">
        <w:rPr>
          <w:rFonts w:cs="Times New Roman"/>
          <w:b/>
        </w:rPr>
        <w:t>.</w:t>
      </w:r>
    </w:p>
    <w:p w14:paraId="089815A7" w14:textId="075F6907" w:rsidR="00E6119A" w:rsidRPr="000E7469" w:rsidRDefault="00036173" w:rsidP="0064560E">
      <w:pPr>
        <w:pStyle w:val="ListParagraph"/>
        <w:numPr>
          <w:ilvl w:val="0"/>
          <w:numId w:val="3"/>
        </w:numPr>
        <w:spacing w:line="480" w:lineRule="auto"/>
        <w:rPr>
          <w:rFonts w:cs="Times New Roman"/>
        </w:rPr>
      </w:pPr>
      <w:r w:rsidRPr="000E7469">
        <w:rPr>
          <w:rFonts w:cs="Times New Roman"/>
        </w:rPr>
        <w:t xml:space="preserve">Do nursing homes receive adequate information </w:t>
      </w:r>
      <w:r w:rsidR="006E305B" w:rsidRPr="000E7469">
        <w:rPr>
          <w:rFonts w:cs="Times New Roman"/>
        </w:rPr>
        <w:t xml:space="preserve">from hospitals </w:t>
      </w:r>
      <w:r w:rsidR="00E938AD" w:rsidRPr="000E7469">
        <w:rPr>
          <w:rFonts w:cs="Times New Roman"/>
        </w:rPr>
        <w:t>regarding the patients’</w:t>
      </w:r>
      <w:r w:rsidRPr="000E7469">
        <w:rPr>
          <w:rFonts w:cs="Times New Roman"/>
        </w:rPr>
        <w:t xml:space="preserve"> cognitive status</w:t>
      </w:r>
      <w:r w:rsidR="006E305B" w:rsidRPr="000E7469">
        <w:rPr>
          <w:rFonts w:cs="Times New Roman"/>
        </w:rPr>
        <w:t xml:space="preserve"> </w:t>
      </w:r>
      <w:r w:rsidR="006E305B" w:rsidRPr="000E7469">
        <w:rPr>
          <w:rFonts w:cs="Times New Roman"/>
          <w:i/>
        </w:rPr>
        <w:t>before</w:t>
      </w:r>
      <w:r w:rsidR="006E305B" w:rsidRPr="000E7469">
        <w:rPr>
          <w:rFonts w:cs="Times New Roman"/>
        </w:rPr>
        <w:t xml:space="preserve"> patients present for nursing home admissions</w:t>
      </w:r>
      <w:r w:rsidR="00E6119A" w:rsidRPr="000E7469">
        <w:rPr>
          <w:rFonts w:cs="Times New Roman"/>
        </w:rPr>
        <w:t>?</w:t>
      </w:r>
      <w:r w:rsidR="007F0216" w:rsidRPr="000E7469">
        <w:rPr>
          <w:rFonts w:cs="Times New Roman"/>
        </w:rPr>
        <w:t xml:space="preserve"> </w:t>
      </w:r>
      <w:r w:rsidR="006E305B" w:rsidRPr="000E7469">
        <w:rPr>
          <w:rFonts w:cs="Times New Roman"/>
        </w:rPr>
        <w:t xml:space="preserve">This question is </w:t>
      </w:r>
      <w:r w:rsidR="005707A4" w:rsidRPr="000E7469">
        <w:rPr>
          <w:rFonts w:cs="Times New Roman"/>
        </w:rPr>
        <w:t>predicated on the person-center</w:t>
      </w:r>
      <w:r w:rsidR="008F3E21">
        <w:rPr>
          <w:rFonts w:cs="Times New Roman"/>
        </w:rPr>
        <w:t>ed concept that accurate knowledge of patient</w:t>
      </w:r>
      <w:r w:rsidR="005707A4" w:rsidRPr="000E7469">
        <w:rPr>
          <w:rFonts w:cs="Times New Roman"/>
        </w:rPr>
        <w:t>s</w:t>
      </w:r>
      <w:r w:rsidR="008F3E21">
        <w:rPr>
          <w:rFonts w:cs="Times New Roman"/>
        </w:rPr>
        <w:t>’</w:t>
      </w:r>
      <w:r w:rsidR="005707A4" w:rsidRPr="000E7469">
        <w:rPr>
          <w:rFonts w:cs="Times New Roman"/>
        </w:rPr>
        <w:t xml:space="preserve"> cognitive </w:t>
      </w:r>
      <w:r w:rsidR="005707A4" w:rsidRPr="000E7469">
        <w:rPr>
          <w:rFonts w:cs="Times New Roman"/>
        </w:rPr>
        <w:lastRenderedPageBreak/>
        <w:t xml:space="preserve">status prior to admission </w:t>
      </w:r>
      <w:r w:rsidR="008F3E21">
        <w:rPr>
          <w:rFonts w:cs="Times New Roman"/>
        </w:rPr>
        <w:t>can improve the development of</w:t>
      </w:r>
      <w:r w:rsidR="005707A4" w:rsidRPr="000E7469">
        <w:rPr>
          <w:rFonts w:cs="Times New Roman"/>
        </w:rPr>
        <w:t xml:space="preserve"> effective </w:t>
      </w:r>
      <w:r w:rsidR="009804F3">
        <w:rPr>
          <w:rFonts w:cs="Times New Roman"/>
        </w:rPr>
        <w:t xml:space="preserve">and efficient </w:t>
      </w:r>
      <w:r w:rsidR="008F3E21">
        <w:rPr>
          <w:rFonts w:cs="Times New Roman"/>
        </w:rPr>
        <w:t>care plans</w:t>
      </w:r>
      <w:r w:rsidR="005707A4" w:rsidRPr="000E7469">
        <w:rPr>
          <w:rFonts w:cs="Times New Roman"/>
        </w:rPr>
        <w:t>.</w:t>
      </w:r>
    </w:p>
    <w:p w14:paraId="78AC9F8B" w14:textId="15FF142F" w:rsidR="008F3E21" w:rsidRDefault="00E938AD" w:rsidP="00840621">
      <w:pPr>
        <w:pStyle w:val="ListParagraph"/>
        <w:numPr>
          <w:ilvl w:val="0"/>
          <w:numId w:val="3"/>
        </w:numPr>
        <w:spacing w:line="480" w:lineRule="auto"/>
        <w:rPr>
          <w:rFonts w:cs="Times New Roman"/>
        </w:rPr>
      </w:pPr>
      <w:r w:rsidRPr="008F3E21">
        <w:rPr>
          <w:rFonts w:cs="Times New Roman"/>
        </w:rPr>
        <w:t xml:space="preserve">Do nursing homes receive adequate information from hospitals regarding the patients’ mood status </w:t>
      </w:r>
      <w:r w:rsidRPr="008F3E21">
        <w:rPr>
          <w:rFonts w:cs="Times New Roman"/>
          <w:i/>
        </w:rPr>
        <w:t>before</w:t>
      </w:r>
      <w:r w:rsidRPr="008F3E21">
        <w:rPr>
          <w:rFonts w:cs="Times New Roman"/>
        </w:rPr>
        <w:t xml:space="preserve"> patients present for nursing home admissions?</w:t>
      </w:r>
      <w:r w:rsidR="007F0216" w:rsidRPr="008F3E21">
        <w:rPr>
          <w:rFonts w:cs="Times New Roman"/>
        </w:rPr>
        <w:t xml:space="preserve"> </w:t>
      </w:r>
      <w:r w:rsidRPr="008F3E21">
        <w:rPr>
          <w:rFonts w:cs="Times New Roman"/>
        </w:rPr>
        <w:t xml:space="preserve">Similar to the first question, this second question is </w:t>
      </w:r>
      <w:r w:rsidR="00E04694" w:rsidRPr="008F3E21">
        <w:rPr>
          <w:rFonts w:cs="Times New Roman"/>
        </w:rPr>
        <w:t xml:space="preserve">based </w:t>
      </w:r>
      <w:r w:rsidRPr="008F3E21">
        <w:rPr>
          <w:rFonts w:cs="Times New Roman"/>
        </w:rPr>
        <w:t xml:space="preserve">on the person-centered concept that </w:t>
      </w:r>
      <w:r w:rsidR="008F3E21" w:rsidRPr="008F3E21">
        <w:rPr>
          <w:rFonts w:cs="Times New Roman"/>
        </w:rPr>
        <w:t>accurate knowledge of patient</w:t>
      </w:r>
      <w:r w:rsidRPr="008F3E21">
        <w:rPr>
          <w:rFonts w:cs="Times New Roman"/>
        </w:rPr>
        <w:t>s</w:t>
      </w:r>
      <w:r w:rsidR="008F3E21" w:rsidRPr="008F3E21">
        <w:rPr>
          <w:rFonts w:cs="Times New Roman"/>
        </w:rPr>
        <w:t>’</w:t>
      </w:r>
      <w:r w:rsidRPr="008F3E21">
        <w:rPr>
          <w:rFonts w:cs="Times New Roman"/>
        </w:rPr>
        <w:t xml:space="preserve"> mood status prior to admission </w:t>
      </w:r>
      <w:r w:rsidR="008F3E21">
        <w:rPr>
          <w:rFonts w:cs="Times New Roman"/>
        </w:rPr>
        <w:t>can also improve effective</w:t>
      </w:r>
      <w:r w:rsidR="009804F3">
        <w:rPr>
          <w:rFonts w:cs="Times New Roman"/>
        </w:rPr>
        <w:t xml:space="preserve"> and efficient</w:t>
      </w:r>
      <w:r w:rsidR="008F3E21">
        <w:rPr>
          <w:rFonts w:cs="Times New Roman"/>
        </w:rPr>
        <w:t xml:space="preserve"> care </w:t>
      </w:r>
      <w:r w:rsidR="00AD39F9">
        <w:rPr>
          <w:rFonts w:cs="Times New Roman"/>
        </w:rPr>
        <w:t>plans</w:t>
      </w:r>
      <w:r w:rsidR="008F3E21">
        <w:rPr>
          <w:rFonts w:cs="Times New Roman"/>
        </w:rPr>
        <w:t>.</w:t>
      </w:r>
    </w:p>
    <w:p w14:paraId="56F8D93F" w14:textId="0F76FBD6" w:rsidR="00E6119A" w:rsidRPr="008F3E21" w:rsidRDefault="00891324" w:rsidP="00840621">
      <w:pPr>
        <w:pStyle w:val="ListParagraph"/>
        <w:numPr>
          <w:ilvl w:val="0"/>
          <w:numId w:val="3"/>
        </w:numPr>
        <w:spacing w:line="480" w:lineRule="auto"/>
        <w:rPr>
          <w:rFonts w:cs="Times New Roman"/>
        </w:rPr>
      </w:pPr>
      <w:r w:rsidRPr="008F3E21">
        <w:rPr>
          <w:rFonts w:cs="Times New Roman"/>
        </w:rPr>
        <w:t xml:space="preserve">To what extent </w:t>
      </w:r>
      <w:proofErr w:type="gramStart"/>
      <w:r w:rsidRPr="008F3E21">
        <w:rPr>
          <w:rFonts w:cs="Times New Roman"/>
        </w:rPr>
        <w:t>do</w:t>
      </w:r>
      <w:r w:rsidR="00FA0643" w:rsidRPr="008F3E21">
        <w:rPr>
          <w:rFonts w:cs="Times New Roman"/>
        </w:rPr>
        <w:t xml:space="preserve"> nursing home staff</w:t>
      </w:r>
      <w:proofErr w:type="gramEnd"/>
      <w:r w:rsidR="00FA0643" w:rsidRPr="008F3E21">
        <w:rPr>
          <w:rFonts w:cs="Times New Roman"/>
        </w:rPr>
        <w:t xml:space="preserve"> think that receiving accurate cognitive and mood information as part of the “information transfer” would improve nursing home care?</w:t>
      </w:r>
      <w:r w:rsidR="007F0216" w:rsidRPr="008F3E21">
        <w:rPr>
          <w:rFonts w:cs="Times New Roman"/>
        </w:rPr>
        <w:t xml:space="preserve"> </w:t>
      </w:r>
      <w:r w:rsidR="008F3E21">
        <w:rPr>
          <w:rFonts w:cs="Times New Roman"/>
        </w:rPr>
        <w:t>Additionally</w:t>
      </w:r>
      <w:r w:rsidRPr="008F3E21">
        <w:rPr>
          <w:rFonts w:cs="Times New Roman"/>
        </w:rPr>
        <w:t>, w</w:t>
      </w:r>
      <w:r w:rsidR="00F460EB" w:rsidRPr="008F3E21">
        <w:rPr>
          <w:rFonts w:cs="Times New Roman"/>
        </w:rPr>
        <w:t>hen shoul</w:t>
      </w:r>
      <w:r w:rsidRPr="008F3E21">
        <w:rPr>
          <w:rFonts w:cs="Times New Roman"/>
        </w:rPr>
        <w:t>d they receive such information?</w:t>
      </w:r>
      <w:r w:rsidR="00F460EB" w:rsidRPr="008F3E21">
        <w:rPr>
          <w:rFonts w:cs="Times New Roman"/>
        </w:rPr>
        <w:t xml:space="preserve"> </w:t>
      </w:r>
    </w:p>
    <w:p w14:paraId="3F1DF55A" w14:textId="25F2ED26" w:rsidR="00E750B5" w:rsidRPr="0064560E" w:rsidRDefault="00E750B5" w:rsidP="0064560E">
      <w:pPr>
        <w:pStyle w:val="ListParagraph"/>
        <w:spacing w:line="480" w:lineRule="auto"/>
        <w:ind w:left="0" w:firstLine="360"/>
        <w:outlineLvl w:val="0"/>
        <w:rPr>
          <w:rFonts w:cs="Times New Roman"/>
          <w:b/>
        </w:rPr>
      </w:pPr>
      <w:r w:rsidRPr="0064560E">
        <w:rPr>
          <w:rFonts w:cs="Times New Roman"/>
          <w:b/>
        </w:rPr>
        <w:t>Transfer from post-acute nursing home to community home</w:t>
      </w:r>
      <w:r w:rsidR="002A7548">
        <w:rPr>
          <w:rFonts w:cs="Times New Roman"/>
          <w:b/>
        </w:rPr>
        <w:t>.</w:t>
      </w:r>
    </w:p>
    <w:p w14:paraId="3A1EA6D1" w14:textId="0FB2B1A1" w:rsidR="00FA0643" w:rsidRPr="000E7469" w:rsidRDefault="00FA0643" w:rsidP="0064560E">
      <w:pPr>
        <w:pStyle w:val="ListParagraph"/>
        <w:numPr>
          <w:ilvl w:val="0"/>
          <w:numId w:val="3"/>
        </w:numPr>
        <w:spacing w:line="480" w:lineRule="auto"/>
        <w:rPr>
          <w:rFonts w:cs="Times New Roman"/>
        </w:rPr>
      </w:pPr>
      <w:r w:rsidRPr="000E7469">
        <w:rPr>
          <w:rFonts w:cs="Times New Roman"/>
        </w:rPr>
        <w:t xml:space="preserve">When discharging nursing home residents to the community, is </w:t>
      </w:r>
      <w:r w:rsidRPr="000E7469">
        <w:rPr>
          <w:rFonts w:cs="Times New Roman"/>
          <w:i/>
        </w:rPr>
        <w:t>current</w:t>
      </w:r>
      <w:r w:rsidRPr="000E7469">
        <w:rPr>
          <w:rFonts w:cs="Times New Roman"/>
        </w:rPr>
        <w:t xml:space="preserve"> cognitive functioning assessed</w:t>
      </w:r>
      <w:r w:rsidR="00891324" w:rsidRPr="000E7469">
        <w:rPr>
          <w:rFonts w:cs="Times New Roman"/>
        </w:rPr>
        <w:t xml:space="preserve"> (shortly before discharge)</w:t>
      </w:r>
      <w:r w:rsidR="00BF761B" w:rsidRPr="000E7469">
        <w:rPr>
          <w:rFonts w:cs="Times New Roman"/>
        </w:rPr>
        <w:t>?</w:t>
      </w:r>
      <w:r w:rsidR="007F0216" w:rsidRPr="000E7469">
        <w:rPr>
          <w:rFonts w:cs="Times New Roman"/>
        </w:rPr>
        <w:t xml:space="preserve"> </w:t>
      </w:r>
      <w:r w:rsidR="0027015F" w:rsidRPr="000E7469">
        <w:rPr>
          <w:rFonts w:cs="Times New Roman"/>
        </w:rPr>
        <w:t>A</w:t>
      </w:r>
      <w:r w:rsidR="00E750B5" w:rsidRPr="000E7469">
        <w:rPr>
          <w:rFonts w:cs="Times New Roman"/>
        </w:rPr>
        <w:t>re cognitive tests used that are designed to identify key cognitive domains (e.g., memory, executive functions)</w:t>
      </w:r>
      <w:r w:rsidR="004C6038" w:rsidRPr="000E7469">
        <w:rPr>
          <w:rFonts w:cs="Times New Roman"/>
        </w:rPr>
        <w:t>?</w:t>
      </w:r>
      <w:r w:rsidR="00E750B5" w:rsidRPr="000E7469">
        <w:rPr>
          <w:rFonts w:cs="Times New Roman"/>
        </w:rPr>
        <w:t xml:space="preserve"> There is ample evidence that specific cognitive domains</w:t>
      </w:r>
      <w:r w:rsidR="00E123C6">
        <w:rPr>
          <w:rFonts w:cs="Times New Roman"/>
        </w:rPr>
        <w:t>, such as executive functions and contextual memory,</w:t>
      </w:r>
      <w:r w:rsidR="00E750B5" w:rsidRPr="000E7469">
        <w:rPr>
          <w:rFonts w:cs="Times New Roman"/>
        </w:rPr>
        <w:t xml:space="preserve"> are predictive of performance of basic and instrumental activities of daily living. </w:t>
      </w:r>
    </w:p>
    <w:p w14:paraId="153403B9" w14:textId="3201D3FA" w:rsidR="001F7141" w:rsidRPr="000E7469" w:rsidRDefault="00FA0643" w:rsidP="0064560E">
      <w:pPr>
        <w:pStyle w:val="ListParagraph"/>
        <w:numPr>
          <w:ilvl w:val="0"/>
          <w:numId w:val="3"/>
        </w:numPr>
        <w:spacing w:line="480" w:lineRule="auto"/>
        <w:rPr>
          <w:rFonts w:cs="Times New Roman"/>
        </w:rPr>
      </w:pPr>
      <w:r w:rsidRPr="000E7469">
        <w:rPr>
          <w:rFonts w:cs="Times New Roman"/>
        </w:rPr>
        <w:t>When discharging nursing home residents to the community, are the cognitive statuses of the caregivers assessed?</w:t>
      </w:r>
      <w:r w:rsidR="007F0216" w:rsidRPr="000E7469">
        <w:rPr>
          <w:rFonts w:cs="Times New Roman"/>
        </w:rPr>
        <w:t xml:space="preserve"> </w:t>
      </w:r>
      <w:r w:rsidR="00E750B5" w:rsidRPr="000E7469">
        <w:rPr>
          <w:rFonts w:cs="Times New Roman"/>
        </w:rPr>
        <w:t>There is often an assumption made that patients with dementia who have a spousal caregiver are not at risk for adverse events because someone else is managing their affairs.</w:t>
      </w:r>
      <w:r w:rsidR="007F0216" w:rsidRPr="000E7469">
        <w:rPr>
          <w:rFonts w:cs="Times New Roman"/>
        </w:rPr>
        <w:t xml:space="preserve"> </w:t>
      </w:r>
      <w:r w:rsidR="00E750B5" w:rsidRPr="000E7469">
        <w:rPr>
          <w:rFonts w:cs="Times New Roman"/>
        </w:rPr>
        <w:t>However, many spousal caregivers are age</w:t>
      </w:r>
      <w:r w:rsidR="00491AD0">
        <w:rPr>
          <w:rFonts w:cs="Times New Roman"/>
        </w:rPr>
        <w:t xml:space="preserve"> cohorts of discharged patients</w:t>
      </w:r>
      <w:r w:rsidR="00E750B5" w:rsidRPr="000E7469">
        <w:rPr>
          <w:rFonts w:cs="Times New Roman"/>
        </w:rPr>
        <w:t xml:space="preserve"> and may also experience cognitive loss.</w:t>
      </w:r>
      <w:r w:rsidR="007F0216" w:rsidRPr="000E7469">
        <w:rPr>
          <w:rFonts w:cs="Times New Roman"/>
        </w:rPr>
        <w:t xml:space="preserve"> </w:t>
      </w:r>
      <w:r w:rsidR="00491AD0">
        <w:rPr>
          <w:rFonts w:cs="Times New Roman"/>
        </w:rPr>
        <w:t xml:space="preserve">Therefore, </w:t>
      </w:r>
      <w:proofErr w:type="gramStart"/>
      <w:r w:rsidR="00491AD0">
        <w:rPr>
          <w:rFonts w:cs="Times New Roman"/>
        </w:rPr>
        <w:t>r</w:t>
      </w:r>
      <w:r w:rsidR="00A92C5F">
        <w:rPr>
          <w:rFonts w:cs="Times New Roman"/>
        </w:rPr>
        <w:t xml:space="preserve">isk may not be adequately </w:t>
      </w:r>
      <w:r w:rsidR="00A92C5F">
        <w:rPr>
          <w:rFonts w:cs="Times New Roman"/>
        </w:rPr>
        <w:lastRenderedPageBreak/>
        <w:t>mitigated</w:t>
      </w:r>
      <w:r w:rsidR="00491AD0">
        <w:rPr>
          <w:rFonts w:cs="Times New Roman"/>
        </w:rPr>
        <w:t xml:space="preserve"> b</w:t>
      </w:r>
      <w:r w:rsidR="00491AD0" w:rsidRPr="000E7469">
        <w:rPr>
          <w:rFonts w:cs="Times New Roman"/>
        </w:rPr>
        <w:t>y not assessing</w:t>
      </w:r>
      <w:r w:rsidR="00491AD0">
        <w:rPr>
          <w:rFonts w:cs="Times New Roman"/>
        </w:rPr>
        <w:t>,</w:t>
      </w:r>
      <w:r w:rsidR="00491AD0" w:rsidRPr="000E7469">
        <w:rPr>
          <w:rFonts w:cs="Times New Roman"/>
        </w:rPr>
        <w:t xml:space="preserve"> or at least inquiring</w:t>
      </w:r>
      <w:r w:rsidR="00491AD0">
        <w:rPr>
          <w:rFonts w:cs="Times New Roman"/>
        </w:rPr>
        <w:t>,</w:t>
      </w:r>
      <w:r w:rsidR="00491AD0" w:rsidRPr="000E7469">
        <w:rPr>
          <w:rFonts w:cs="Times New Roman"/>
        </w:rPr>
        <w:t xml:space="preserve"> about the cognitive</w:t>
      </w:r>
      <w:r w:rsidR="00491AD0">
        <w:rPr>
          <w:rFonts w:cs="Times New Roman"/>
        </w:rPr>
        <w:t xml:space="preserve"> functioning of the caregivers</w:t>
      </w:r>
      <w:proofErr w:type="gramEnd"/>
      <w:r w:rsidR="00491AD0">
        <w:rPr>
          <w:rFonts w:cs="Times New Roman"/>
        </w:rPr>
        <w:t>.</w:t>
      </w:r>
    </w:p>
    <w:p w14:paraId="058CBD79" w14:textId="4952F9A1" w:rsidR="00132CD4" w:rsidRPr="0064560E" w:rsidRDefault="002A7548" w:rsidP="002A7548">
      <w:pPr>
        <w:spacing w:line="480" w:lineRule="auto"/>
        <w:jc w:val="center"/>
        <w:outlineLvl w:val="0"/>
        <w:rPr>
          <w:rFonts w:cs="Times New Roman"/>
          <w:b/>
        </w:rPr>
      </w:pPr>
      <w:r>
        <w:rPr>
          <w:rFonts w:cs="Times New Roman"/>
          <w:b/>
        </w:rPr>
        <w:t>Methodology</w:t>
      </w:r>
    </w:p>
    <w:p w14:paraId="6752ABDF" w14:textId="77777777" w:rsidR="002A7548" w:rsidRDefault="002A7548" w:rsidP="002A7548">
      <w:pPr>
        <w:spacing w:line="480" w:lineRule="auto"/>
        <w:rPr>
          <w:rFonts w:cs="Times New Roman"/>
          <w:b/>
        </w:rPr>
      </w:pPr>
      <w:r>
        <w:rPr>
          <w:rFonts w:cs="Times New Roman"/>
          <w:b/>
        </w:rPr>
        <w:t>Participants</w:t>
      </w:r>
    </w:p>
    <w:p w14:paraId="370246BF" w14:textId="00030E08" w:rsidR="00C63DF1" w:rsidRPr="000E7469" w:rsidRDefault="0027015F" w:rsidP="002A7548">
      <w:pPr>
        <w:spacing w:line="480" w:lineRule="auto"/>
        <w:ind w:firstLine="720"/>
        <w:rPr>
          <w:rFonts w:cs="Times New Roman"/>
        </w:rPr>
      </w:pPr>
      <w:r w:rsidRPr="000E7469">
        <w:rPr>
          <w:rFonts w:cs="Times New Roman"/>
        </w:rPr>
        <w:t>Facility s</w:t>
      </w:r>
      <w:r w:rsidR="003E5219" w:rsidRPr="000E7469">
        <w:rPr>
          <w:rFonts w:cs="Times New Roman"/>
        </w:rPr>
        <w:t>taff (N = 58)</w:t>
      </w:r>
      <w:r w:rsidR="005D6C35" w:rsidRPr="000E7469">
        <w:rPr>
          <w:rFonts w:cs="Times New Roman"/>
        </w:rPr>
        <w:t xml:space="preserve"> from </w:t>
      </w:r>
      <w:r w:rsidR="00737A7C" w:rsidRPr="000E7469">
        <w:rPr>
          <w:rFonts w:cs="Times New Roman"/>
        </w:rPr>
        <w:t>post-acute</w:t>
      </w:r>
      <w:r w:rsidR="0099143E" w:rsidRPr="000E7469">
        <w:rPr>
          <w:rFonts w:cs="Times New Roman"/>
        </w:rPr>
        <w:t xml:space="preserve"> nursing </w:t>
      </w:r>
      <w:r w:rsidRPr="000E7469">
        <w:rPr>
          <w:rFonts w:cs="Times New Roman"/>
        </w:rPr>
        <w:t xml:space="preserve">homes </w:t>
      </w:r>
      <w:r w:rsidR="00737A7C" w:rsidRPr="000E7469">
        <w:rPr>
          <w:rFonts w:cs="Times New Roman"/>
        </w:rPr>
        <w:t>that provide short stay rehabilitation services</w:t>
      </w:r>
      <w:r w:rsidR="003E5219" w:rsidRPr="000E7469">
        <w:rPr>
          <w:rFonts w:cs="Times New Roman"/>
        </w:rPr>
        <w:t xml:space="preserve"> participated in the survey</w:t>
      </w:r>
      <w:r w:rsidR="00FA0643" w:rsidRPr="000E7469">
        <w:rPr>
          <w:rFonts w:cs="Times New Roman"/>
        </w:rPr>
        <w:t>.</w:t>
      </w:r>
      <w:r w:rsidR="007F0216" w:rsidRPr="000E7469">
        <w:rPr>
          <w:rFonts w:cs="Times New Roman"/>
        </w:rPr>
        <w:t xml:space="preserve"> </w:t>
      </w:r>
      <w:r w:rsidR="002338E3">
        <w:rPr>
          <w:rFonts w:cs="Times New Roman"/>
        </w:rPr>
        <w:t>Participants</w:t>
      </w:r>
      <w:r w:rsidR="003E5219" w:rsidRPr="000E7469">
        <w:rPr>
          <w:rFonts w:cs="Times New Roman"/>
        </w:rPr>
        <w:t xml:space="preserve"> </w:t>
      </w:r>
      <w:r w:rsidR="005C07D7" w:rsidRPr="000E7469">
        <w:rPr>
          <w:rFonts w:cs="Times New Roman"/>
        </w:rPr>
        <w:t xml:space="preserve">indicated their job title as </w:t>
      </w:r>
      <w:r w:rsidR="003E5219" w:rsidRPr="000E7469">
        <w:rPr>
          <w:rFonts w:cs="Times New Roman"/>
        </w:rPr>
        <w:t>directors of nursing (33.</w:t>
      </w:r>
      <w:r w:rsidR="0093201F" w:rsidRPr="000E7469">
        <w:rPr>
          <w:rFonts w:cs="Times New Roman"/>
        </w:rPr>
        <w:t>4</w:t>
      </w:r>
      <w:r w:rsidR="003E5219" w:rsidRPr="000E7469">
        <w:rPr>
          <w:rFonts w:cs="Times New Roman"/>
        </w:rPr>
        <w:t>%), administrator (29.2%), nurse (12.5%), social work discharge planner (8.3%), rehabilitation therapists (8.3%)</w:t>
      </w:r>
      <w:r w:rsidR="005C07D7" w:rsidRPr="000E7469">
        <w:rPr>
          <w:rFonts w:cs="Times New Roman"/>
        </w:rPr>
        <w:t>, or other (8.3%)</w:t>
      </w:r>
      <w:r w:rsidR="003E5219" w:rsidRPr="000E7469">
        <w:rPr>
          <w:rFonts w:cs="Times New Roman"/>
        </w:rPr>
        <w:t>.</w:t>
      </w:r>
    </w:p>
    <w:p w14:paraId="301D61BC" w14:textId="77777777" w:rsidR="002A7548" w:rsidRDefault="00C63DF1" w:rsidP="002A7548">
      <w:pPr>
        <w:spacing w:line="480" w:lineRule="auto"/>
        <w:rPr>
          <w:rFonts w:cs="Times New Roman"/>
          <w:b/>
        </w:rPr>
      </w:pPr>
      <w:r w:rsidRPr="002A7548">
        <w:rPr>
          <w:rFonts w:cs="Times New Roman"/>
          <w:b/>
        </w:rPr>
        <w:t>Measures</w:t>
      </w:r>
      <w:r w:rsidR="005A25B5" w:rsidRPr="002A7548">
        <w:rPr>
          <w:rFonts w:cs="Times New Roman"/>
          <w:b/>
        </w:rPr>
        <w:t xml:space="preserve"> and Materials</w:t>
      </w:r>
    </w:p>
    <w:p w14:paraId="1BFE33AD" w14:textId="4A0A1451" w:rsidR="00C94C37" w:rsidRPr="000E7469" w:rsidRDefault="00737A7C" w:rsidP="002A7548">
      <w:pPr>
        <w:spacing w:line="480" w:lineRule="auto"/>
        <w:ind w:firstLine="720"/>
        <w:rPr>
          <w:rFonts w:cs="Times New Roman"/>
        </w:rPr>
      </w:pPr>
      <w:r w:rsidRPr="000E7469">
        <w:rPr>
          <w:rFonts w:cs="Times New Roman"/>
        </w:rPr>
        <w:t>Participants respond</w:t>
      </w:r>
      <w:r w:rsidR="004E2B96" w:rsidRPr="000E7469">
        <w:rPr>
          <w:rFonts w:cs="Times New Roman"/>
        </w:rPr>
        <w:t>ed</w:t>
      </w:r>
      <w:r w:rsidRPr="000E7469">
        <w:rPr>
          <w:rFonts w:cs="Times New Roman"/>
        </w:rPr>
        <w:t xml:space="preserve"> to a</w:t>
      </w:r>
      <w:r w:rsidR="00EE1169" w:rsidRPr="000E7469">
        <w:rPr>
          <w:rFonts w:cs="Times New Roman"/>
        </w:rPr>
        <w:t xml:space="preserve">n online </w:t>
      </w:r>
      <w:proofErr w:type="spellStart"/>
      <w:r w:rsidR="00EE1169" w:rsidRPr="000E7469">
        <w:rPr>
          <w:rFonts w:cs="Times New Roman"/>
          <w:i/>
        </w:rPr>
        <w:t>Qualtrics</w:t>
      </w:r>
      <w:proofErr w:type="spellEnd"/>
      <w:r w:rsidR="00EE1169" w:rsidRPr="000E7469">
        <w:rPr>
          <w:rFonts w:cs="Times New Roman"/>
        </w:rPr>
        <w:t xml:space="preserve"> survey.</w:t>
      </w:r>
      <w:r w:rsidR="007F0216" w:rsidRPr="000E7469">
        <w:rPr>
          <w:rFonts w:cs="Times New Roman"/>
        </w:rPr>
        <w:t xml:space="preserve"> </w:t>
      </w:r>
      <w:proofErr w:type="gramStart"/>
      <w:r w:rsidR="00EE1169" w:rsidRPr="000E7469">
        <w:rPr>
          <w:rFonts w:cs="Times New Roman"/>
        </w:rPr>
        <w:t xml:space="preserve">The survey </w:t>
      </w:r>
      <w:r w:rsidR="004E2B96" w:rsidRPr="000E7469">
        <w:rPr>
          <w:rFonts w:cs="Times New Roman"/>
        </w:rPr>
        <w:t>was</w:t>
      </w:r>
      <w:r w:rsidR="00EE1169" w:rsidRPr="000E7469">
        <w:rPr>
          <w:rFonts w:cs="Times New Roman"/>
        </w:rPr>
        <w:t xml:space="preserve"> completed by each participant in approximately 15 minutes</w:t>
      </w:r>
      <w:proofErr w:type="gramEnd"/>
      <w:r w:rsidR="00EE1169" w:rsidRPr="000E7469">
        <w:rPr>
          <w:rFonts w:cs="Times New Roman"/>
        </w:rPr>
        <w:t>.</w:t>
      </w:r>
      <w:r w:rsidR="007F0216" w:rsidRPr="000E7469">
        <w:rPr>
          <w:rFonts w:cs="Times New Roman"/>
        </w:rPr>
        <w:t xml:space="preserve"> </w:t>
      </w:r>
      <w:r w:rsidR="00EE1169" w:rsidRPr="000E7469">
        <w:rPr>
          <w:rFonts w:cs="Times New Roman"/>
        </w:rPr>
        <w:t>This brief time duration was dete</w:t>
      </w:r>
      <w:r w:rsidR="002E0A86">
        <w:rPr>
          <w:rFonts w:cs="Times New Roman"/>
        </w:rPr>
        <w:t xml:space="preserve">rmined by balancing the quality and </w:t>
      </w:r>
      <w:r w:rsidR="00EE1169" w:rsidRPr="000E7469">
        <w:rPr>
          <w:rFonts w:cs="Times New Roman"/>
        </w:rPr>
        <w:t>quantity of questions with brevity.</w:t>
      </w:r>
      <w:r w:rsidR="007F0216" w:rsidRPr="000E7469">
        <w:rPr>
          <w:rFonts w:cs="Times New Roman"/>
        </w:rPr>
        <w:t xml:space="preserve"> </w:t>
      </w:r>
      <w:r w:rsidR="00EE1169" w:rsidRPr="000E7469">
        <w:rPr>
          <w:rFonts w:cs="Times New Roman"/>
        </w:rPr>
        <w:t>The researchers were made aware that compliance with the survey would be improved i</w:t>
      </w:r>
      <w:r w:rsidR="004E2B96" w:rsidRPr="000E7469">
        <w:rPr>
          <w:rFonts w:cs="Times New Roman"/>
        </w:rPr>
        <w:t>f</w:t>
      </w:r>
      <w:r w:rsidR="00EE1169" w:rsidRPr="000E7469">
        <w:rPr>
          <w:rFonts w:cs="Times New Roman"/>
        </w:rPr>
        <w:t xml:space="preserve"> the time demands in completing it were minimal.</w:t>
      </w:r>
    </w:p>
    <w:p w14:paraId="42E2B989" w14:textId="77777777" w:rsidR="002A7548" w:rsidRDefault="003C3191" w:rsidP="002A7548">
      <w:pPr>
        <w:spacing w:line="480" w:lineRule="auto"/>
        <w:rPr>
          <w:rFonts w:cs="Times New Roman"/>
          <w:b/>
        </w:rPr>
      </w:pPr>
      <w:r w:rsidRPr="002A7548">
        <w:rPr>
          <w:rFonts w:cs="Times New Roman"/>
          <w:b/>
        </w:rPr>
        <w:t>Procedure</w:t>
      </w:r>
    </w:p>
    <w:p w14:paraId="32793D6E" w14:textId="02C833B5" w:rsidR="007B434C" w:rsidRPr="000E7469" w:rsidRDefault="003C3191" w:rsidP="00DE588E">
      <w:pPr>
        <w:spacing w:line="480" w:lineRule="auto"/>
        <w:ind w:firstLine="720"/>
        <w:rPr>
          <w:rFonts w:cs="Times New Roman"/>
        </w:rPr>
      </w:pPr>
      <w:r w:rsidRPr="000E7469">
        <w:rPr>
          <w:rFonts w:cs="Times New Roman"/>
        </w:rPr>
        <w:t>The Beacon Institute</w:t>
      </w:r>
      <w:r w:rsidR="00EE1169" w:rsidRPr="000E7469">
        <w:rPr>
          <w:rFonts w:cs="Times New Roman"/>
        </w:rPr>
        <w:t xml:space="preserve"> and </w:t>
      </w:r>
      <w:proofErr w:type="spellStart"/>
      <w:r w:rsidR="00EE1169" w:rsidRPr="000E7469">
        <w:rPr>
          <w:rFonts w:cs="Times New Roman"/>
        </w:rPr>
        <w:t>Mansbach</w:t>
      </w:r>
      <w:proofErr w:type="spellEnd"/>
      <w:r w:rsidR="00EE1169" w:rsidRPr="000E7469">
        <w:rPr>
          <w:rFonts w:cs="Times New Roman"/>
        </w:rPr>
        <w:t xml:space="preserve"> Health Tools</w:t>
      </w:r>
      <w:r w:rsidRPr="000E7469">
        <w:rPr>
          <w:rFonts w:cs="Times New Roman"/>
        </w:rPr>
        <w:t xml:space="preserve"> </w:t>
      </w:r>
      <w:r w:rsidR="00EE1169" w:rsidRPr="000E7469">
        <w:rPr>
          <w:rFonts w:cs="Times New Roman"/>
        </w:rPr>
        <w:t xml:space="preserve">LLC </w:t>
      </w:r>
      <w:r w:rsidRPr="000E7469">
        <w:rPr>
          <w:rFonts w:cs="Times New Roman"/>
        </w:rPr>
        <w:t>recruit</w:t>
      </w:r>
      <w:r w:rsidR="00EE1169" w:rsidRPr="000E7469">
        <w:rPr>
          <w:rFonts w:cs="Times New Roman"/>
        </w:rPr>
        <w:t>ed</w:t>
      </w:r>
      <w:r w:rsidRPr="000E7469">
        <w:rPr>
          <w:rFonts w:cs="Times New Roman"/>
        </w:rPr>
        <w:t xml:space="preserve"> </w:t>
      </w:r>
      <w:r w:rsidR="00FE502E" w:rsidRPr="000E7469">
        <w:rPr>
          <w:rFonts w:cs="Times New Roman"/>
        </w:rPr>
        <w:t>fifty</w:t>
      </w:r>
      <w:r w:rsidRPr="000E7469">
        <w:rPr>
          <w:rFonts w:cs="Times New Roman"/>
        </w:rPr>
        <w:t xml:space="preserve"> </w:t>
      </w:r>
      <w:r w:rsidR="00EE1169" w:rsidRPr="000E7469">
        <w:rPr>
          <w:rFonts w:cs="Times New Roman"/>
        </w:rPr>
        <w:t xml:space="preserve">post-acute </w:t>
      </w:r>
      <w:r w:rsidRPr="000E7469">
        <w:rPr>
          <w:rFonts w:cs="Times New Roman"/>
        </w:rPr>
        <w:t xml:space="preserve">facilities. </w:t>
      </w:r>
      <w:r w:rsidR="002E0A86">
        <w:rPr>
          <w:rFonts w:cs="Times New Roman"/>
        </w:rPr>
        <w:t>Staff from 38</w:t>
      </w:r>
      <w:r w:rsidR="00EE1169" w:rsidRPr="000E7469">
        <w:rPr>
          <w:rFonts w:cs="Times New Roman"/>
        </w:rPr>
        <w:t xml:space="preserve"> facilities</w:t>
      </w:r>
      <w:r w:rsidRPr="000E7469">
        <w:rPr>
          <w:rFonts w:cs="Times New Roman"/>
        </w:rPr>
        <w:t xml:space="preserve"> </w:t>
      </w:r>
      <w:r w:rsidR="00EE1169" w:rsidRPr="000E7469">
        <w:rPr>
          <w:rFonts w:cs="Times New Roman"/>
        </w:rPr>
        <w:t xml:space="preserve">completed surveys. </w:t>
      </w:r>
      <w:r w:rsidR="00FD1FAB" w:rsidRPr="000E7469">
        <w:rPr>
          <w:rFonts w:cs="Times New Roman"/>
        </w:rPr>
        <w:t>All</w:t>
      </w:r>
      <w:r w:rsidR="00612A5B" w:rsidRPr="000E7469">
        <w:rPr>
          <w:rFonts w:cs="Times New Roman"/>
        </w:rPr>
        <w:t xml:space="preserve"> participating</w:t>
      </w:r>
      <w:r w:rsidR="00FD1FAB" w:rsidRPr="000E7469">
        <w:rPr>
          <w:rFonts w:cs="Times New Roman"/>
        </w:rPr>
        <w:t xml:space="preserve"> </w:t>
      </w:r>
      <w:r w:rsidR="00EE1169" w:rsidRPr="000E7469">
        <w:rPr>
          <w:rFonts w:cs="Times New Roman"/>
        </w:rPr>
        <w:t xml:space="preserve">post-acute facilities were </w:t>
      </w:r>
      <w:r w:rsidR="0015564B" w:rsidRPr="000E7469">
        <w:rPr>
          <w:rFonts w:cs="Times New Roman"/>
        </w:rPr>
        <w:t xml:space="preserve">provided a </w:t>
      </w:r>
      <w:r w:rsidR="00FE502E" w:rsidRPr="000E7469">
        <w:rPr>
          <w:rFonts w:cs="Times New Roman"/>
        </w:rPr>
        <w:t>written</w:t>
      </w:r>
      <w:r w:rsidR="0015564B" w:rsidRPr="000E7469">
        <w:rPr>
          <w:rFonts w:cs="Times New Roman"/>
        </w:rPr>
        <w:t xml:space="preserve"> description of the study outline and</w:t>
      </w:r>
      <w:r w:rsidR="00FE502E" w:rsidRPr="000E7469">
        <w:rPr>
          <w:rFonts w:cs="Times New Roman"/>
        </w:rPr>
        <w:t xml:space="preserve"> parti</w:t>
      </w:r>
      <w:r w:rsidR="00EE1169" w:rsidRPr="000E7469">
        <w:rPr>
          <w:rFonts w:cs="Times New Roman"/>
        </w:rPr>
        <w:t>cipation responsibilities</w:t>
      </w:r>
      <w:r w:rsidR="00FE502E" w:rsidRPr="000E7469">
        <w:rPr>
          <w:rFonts w:cs="Times New Roman"/>
        </w:rPr>
        <w:t xml:space="preserve">. </w:t>
      </w:r>
      <w:r w:rsidR="00EE1169" w:rsidRPr="000E7469">
        <w:rPr>
          <w:rFonts w:cs="Times New Roman"/>
        </w:rPr>
        <w:t xml:space="preserve">Several post-acute facilities contacted </w:t>
      </w:r>
      <w:proofErr w:type="spellStart"/>
      <w:r w:rsidR="0015564B" w:rsidRPr="000E7469">
        <w:rPr>
          <w:rFonts w:cs="Times New Roman"/>
        </w:rPr>
        <w:t>Mansbach</w:t>
      </w:r>
      <w:proofErr w:type="spellEnd"/>
      <w:r w:rsidR="0015564B" w:rsidRPr="000E7469">
        <w:rPr>
          <w:rFonts w:cs="Times New Roman"/>
        </w:rPr>
        <w:t xml:space="preserve"> Health Tools</w:t>
      </w:r>
      <w:r w:rsidR="0030185A" w:rsidRPr="000E7469">
        <w:rPr>
          <w:rFonts w:cs="Times New Roman"/>
        </w:rPr>
        <w:t xml:space="preserve">, </w:t>
      </w:r>
      <w:r w:rsidR="0015564B" w:rsidRPr="000E7469">
        <w:rPr>
          <w:rFonts w:cs="Times New Roman"/>
        </w:rPr>
        <w:t xml:space="preserve">LLC </w:t>
      </w:r>
      <w:r w:rsidR="00EE1169" w:rsidRPr="000E7469">
        <w:rPr>
          <w:rFonts w:cs="Times New Roman"/>
        </w:rPr>
        <w:t xml:space="preserve">for clarification of the project. </w:t>
      </w:r>
      <w:r w:rsidR="00CE41AB" w:rsidRPr="000E7469">
        <w:rPr>
          <w:rFonts w:cs="Times New Roman"/>
        </w:rPr>
        <w:t xml:space="preserve">Descriptive statistics were performed to </w:t>
      </w:r>
      <w:r w:rsidR="000D3187" w:rsidRPr="000E7469">
        <w:rPr>
          <w:rFonts w:cs="Times New Roman"/>
        </w:rPr>
        <w:t>report</w:t>
      </w:r>
      <w:r w:rsidR="00BE6DFD" w:rsidRPr="000E7469">
        <w:rPr>
          <w:rFonts w:cs="Times New Roman"/>
        </w:rPr>
        <w:t xml:space="preserve"> participant characteristics and survey dat</w:t>
      </w:r>
      <w:r w:rsidR="007B434C" w:rsidRPr="000E7469">
        <w:rPr>
          <w:rFonts w:cs="Times New Roman"/>
        </w:rPr>
        <w:t>a.</w:t>
      </w:r>
    </w:p>
    <w:p w14:paraId="5D6F67E2" w14:textId="77777777" w:rsidR="000E0BF3" w:rsidRPr="00E663D8" w:rsidRDefault="000E0BF3" w:rsidP="000E0BF3">
      <w:pPr>
        <w:spacing w:line="480" w:lineRule="auto"/>
        <w:jc w:val="center"/>
        <w:outlineLvl w:val="0"/>
        <w:rPr>
          <w:rFonts w:cs="Times New Roman"/>
          <w:b/>
        </w:rPr>
      </w:pPr>
      <w:r w:rsidRPr="00E663D8">
        <w:rPr>
          <w:rFonts w:cs="Times New Roman"/>
          <w:b/>
        </w:rPr>
        <w:t>Results</w:t>
      </w:r>
    </w:p>
    <w:p w14:paraId="15F130E1" w14:textId="77777777" w:rsidR="000E0BF3" w:rsidRPr="00574734" w:rsidRDefault="000E0BF3" w:rsidP="000E0BF3">
      <w:pPr>
        <w:spacing w:line="480" w:lineRule="auto"/>
        <w:outlineLvl w:val="0"/>
        <w:rPr>
          <w:rFonts w:cs="Times New Roman"/>
          <w:b/>
        </w:rPr>
      </w:pPr>
      <w:r w:rsidRPr="00574734">
        <w:rPr>
          <w:rFonts w:cs="Times New Roman"/>
          <w:b/>
        </w:rPr>
        <w:t xml:space="preserve">Transfer from hospital to post-acute nursing </w:t>
      </w:r>
    </w:p>
    <w:p w14:paraId="60ECF12B" w14:textId="1B5A5159" w:rsidR="000E0BF3" w:rsidRPr="000E7469" w:rsidRDefault="000E0BF3" w:rsidP="000E0BF3">
      <w:pPr>
        <w:spacing w:line="480" w:lineRule="auto"/>
        <w:ind w:firstLine="720"/>
        <w:rPr>
          <w:rFonts w:cs="Times New Roman"/>
        </w:rPr>
      </w:pPr>
      <w:r w:rsidRPr="000E7469">
        <w:rPr>
          <w:rFonts w:cs="Times New Roman"/>
        </w:rPr>
        <w:lastRenderedPageBreak/>
        <w:t xml:space="preserve">As previously mentioned, the AMDA white paper </w:t>
      </w:r>
      <w:r w:rsidR="009B0DDF">
        <w:rPr>
          <w:rFonts w:cs="Times New Roman"/>
        </w:rPr>
        <w:t>on</w:t>
      </w:r>
      <w:r w:rsidRPr="000E7469">
        <w:rPr>
          <w:rFonts w:cs="Times New Roman"/>
        </w:rPr>
        <w:t xml:space="preserve"> this transition period recommends the transfer of </w:t>
      </w:r>
      <w:r>
        <w:rPr>
          <w:rFonts w:cs="Times New Roman"/>
        </w:rPr>
        <w:t>relevant</w:t>
      </w:r>
      <w:r w:rsidRPr="000E7469">
        <w:rPr>
          <w:rFonts w:cs="Times New Roman"/>
        </w:rPr>
        <w:t xml:space="preserve"> patient information </w:t>
      </w:r>
      <w:r w:rsidRPr="000E7469">
        <w:rPr>
          <w:rFonts w:cs="Times New Roman"/>
          <w:i/>
        </w:rPr>
        <w:t>prior</w:t>
      </w:r>
      <w:r w:rsidRPr="000E7469">
        <w:rPr>
          <w:rFonts w:cs="Times New Roman"/>
        </w:rPr>
        <w:t xml:space="preserve"> to post-acute admission </w:t>
      </w:r>
      <w:r>
        <w:rPr>
          <w:rFonts w:cs="Times New Roman"/>
        </w:rPr>
        <w:t>to</w:t>
      </w:r>
      <w:r w:rsidRPr="000E7469">
        <w:rPr>
          <w:rFonts w:cs="Times New Roman"/>
        </w:rPr>
        <w:t xml:space="preserve"> improve treatment planning. However, </w:t>
      </w:r>
      <w:r>
        <w:rPr>
          <w:rFonts w:cs="Times New Roman"/>
        </w:rPr>
        <w:t>nursing staff</w:t>
      </w:r>
      <w:r w:rsidRPr="000E7469">
        <w:rPr>
          <w:rFonts w:cs="Times New Roman"/>
        </w:rPr>
        <w:t xml:space="preserve"> reported </w:t>
      </w:r>
      <w:r>
        <w:rPr>
          <w:rFonts w:cs="Times New Roman"/>
        </w:rPr>
        <w:t>receiving</w:t>
      </w:r>
      <w:r w:rsidRPr="000E7469">
        <w:rPr>
          <w:rFonts w:cs="Times New Roman"/>
        </w:rPr>
        <w:t xml:space="preserve"> a hospital discharge or transfer summary for residents before post-acute admission less than half of the time</w:t>
      </w:r>
      <w:r w:rsidRPr="000E7469">
        <w:rPr>
          <w:rFonts w:cs="Times New Roman"/>
          <w:b/>
        </w:rPr>
        <w:t xml:space="preserve"> </w:t>
      </w:r>
      <w:r w:rsidRPr="000E7469">
        <w:rPr>
          <w:rFonts w:cs="Times New Roman"/>
        </w:rPr>
        <w:t>(</w:t>
      </w:r>
      <w:r w:rsidRPr="000E7469">
        <w:rPr>
          <w:rFonts w:cs="Times New Roman"/>
          <w:i/>
        </w:rPr>
        <w:t xml:space="preserve">M </w:t>
      </w:r>
      <w:r w:rsidRPr="002338E3">
        <w:rPr>
          <w:rFonts w:cs="Times New Roman"/>
        </w:rPr>
        <w:t>percent</w:t>
      </w:r>
      <w:r w:rsidRPr="000E7469">
        <w:rPr>
          <w:rFonts w:cs="Times New Roman"/>
        </w:rPr>
        <w:t xml:space="preserve"> = 46.0</w:t>
      </w:r>
      <w:r w:rsidR="00DE588E">
        <w:rPr>
          <w:rFonts w:cs="Times New Roman"/>
        </w:rPr>
        <w:t>), and this estimate widely varied (</w:t>
      </w:r>
      <w:r w:rsidRPr="000E7469">
        <w:rPr>
          <w:rFonts w:cs="Times New Roman"/>
          <w:i/>
        </w:rPr>
        <w:t>SD</w:t>
      </w:r>
      <w:r w:rsidRPr="000E7469">
        <w:rPr>
          <w:rFonts w:cs="Times New Roman"/>
        </w:rPr>
        <w:t xml:space="preserve"> = 36.5). </w:t>
      </w:r>
      <w:r>
        <w:rPr>
          <w:rFonts w:cs="Times New Roman"/>
        </w:rPr>
        <w:t>Nursing staff</w:t>
      </w:r>
      <w:r w:rsidRPr="000E7469">
        <w:rPr>
          <w:rFonts w:cs="Times New Roman"/>
        </w:rPr>
        <w:t xml:space="preserve"> reported receiving a hospital discharge or transfer summary for residents after admission 7.5% (</w:t>
      </w:r>
      <w:r w:rsidRPr="000E7469">
        <w:rPr>
          <w:rFonts w:cs="Times New Roman"/>
          <w:i/>
        </w:rPr>
        <w:t>SD</w:t>
      </w:r>
      <w:r w:rsidRPr="000E7469">
        <w:rPr>
          <w:rFonts w:cs="Times New Roman"/>
        </w:rPr>
        <w:t xml:space="preserve"> = 15.2) of the time and not at all 3.9% (</w:t>
      </w:r>
      <w:r w:rsidRPr="000E7469">
        <w:rPr>
          <w:rFonts w:cs="Times New Roman"/>
          <w:i/>
        </w:rPr>
        <w:t>SD</w:t>
      </w:r>
      <w:r w:rsidRPr="000E7469">
        <w:rPr>
          <w:rFonts w:cs="Times New Roman"/>
        </w:rPr>
        <w:t xml:space="preserve"> = 14.1) of the time. </w:t>
      </w:r>
      <w:r>
        <w:rPr>
          <w:rFonts w:cs="Times New Roman"/>
        </w:rPr>
        <w:t>O</w:t>
      </w:r>
      <w:r w:rsidRPr="000E7469">
        <w:rPr>
          <w:rFonts w:cs="Times New Roman"/>
        </w:rPr>
        <w:t xml:space="preserve">nly 11.4% of </w:t>
      </w:r>
      <w:r>
        <w:rPr>
          <w:rFonts w:cs="Times New Roman"/>
        </w:rPr>
        <w:t>nursing staff</w:t>
      </w:r>
      <w:r w:rsidRPr="000E7469">
        <w:rPr>
          <w:rFonts w:cs="Times New Roman"/>
        </w:rPr>
        <w:t xml:space="preserve"> strongly </w:t>
      </w:r>
      <w:r w:rsidR="009B0DDF">
        <w:rPr>
          <w:rFonts w:cs="Times New Roman"/>
        </w:rPr>
        <w:t>agreed</w:t>
      </w:r>
      <w:r w:rsidRPr="000E7469">
        <w:rPr>
          <w:rFonts w:cs="Times New Roman"/>
        </w:rPr>
        <w:t xml:space="preserve"> </w:t>
      </w:r>
      <w:r w:rsidR="009B0DDF">
        <w:rPr>
          <w:rFonts w:cs="Times New Roman"/>
        </w:rPr>
        <w:t>with getting</w:t>
      </w:r>
      <w:r w:rsidRPr="000E7469">
        <w:rPr>
          <w:rFonts w:cs="Times New Roman"/>
        </w:rPr>
        <w:t xml:space="preserve"> sufficient information from hospital discharge or transfer summaries necessary to optimize care for nursing home residents. Interestingly, 37.1% of </w:t>
      </w:r>
      <w:r>
        <w:rPr>
          <w:rFonts w:cs="Times New Roman"/>
        </w:rPr>
        <w:t>nursing staff</w:t>
      </w:r>
      <w:r w:rsidRPr="000E7469">
        <w:rPr>
          <w:rFonts w:cs="Times New Roman"/>
        </w:rPr>
        <w:t xml:space="preserve"> reported that the information that they receive in hospital discharge or transfer summaries is inadequate for optimizing nursing home care. As presented in Table 1, </w:t>
      </w:r>
      <w:r>
        <w:rPr>
          <w:rFonts w:cs="Times New Roman"/>
        </w:rPr>
        <w:t>nursing staff</w:t>
      </w:r>
      <w:r w:rsidRPr="000E7469">
        <w:rPr>
          <w:rFonts w:cs="Times New Roman"/>
        </w:rPr>
        <w:t xml:space="preserve"> consistently indicated that they do not receive useful information from hospital discharge or transfer summaries regarding the cognitive, mood, and functional status of residents. </w:t>
      </w:r>
    </w:p>
    <w:p w14:paraId="7CECD8C2" w14:textId="77777777" w:rsidR="000E0BF3" w:rsidRPr="000E7469" w:rsidRDefault="000E0BF3" w:rsidP="000E0BF3">
      <w:pPr>
        <w:spacing w:line="480" w:lineRule="auto"/>
        <w:ind w:left="720"/>
        <w:rPr>
          <w:rFonts w:cs="Times New Roman"/>
        </w:rPr>
      </w:pPr>
      <w:r w:rsidRPr="000E7469">
        <w:rPr>
          <w:rFonts w:cs="Times New Roman"/>
          <w:i/>
        </w:rPr>
        <w:t>Table 1.</w:t>
      </w:r>
      <w:r w:rsidRPr="000E7469">
        <w:rPr>
          <w:rFonts w:cs="Times New Roman"/>
        </w:rPr>
        <w:t xml:space="preserve"> </w:t>
      </w:r>
      <w:r w:rsidRPr="000E7469">
        <w:rPr>
          <w:rFonts w:cs="Times New Roman"/>
          <w:i/>
        </w:rPr>
        <w:t>“Consider the information you receive from hospital discharge/transfer summaries about residents. Do you receive useful information about…</w:t>
      </w:r>
      <w:proofErr w:type="gramStart"/>
      <w:r w:rsidRPr="000E7469">
        <w:rPr>
          <w:rFonts w:cs="Times New Roman"/>
          <w:i/>
        </w:rPr>
        <w:t>”</w:t>
      </w:r>
      <w:proofErr w:type="gramEnd"/>
    </w:p>
    <w:tbl>
      <w:tblPr>
        <w:tblW w:w="4850" w:type="dxa"/>
        <w:jc w:val="center"/>
        <w:tblLook w:val="04A0" w:firstRow="1" w:lastRow="0" w:firstColumn="1" w:lastColumn="0" w:noHBand="0" w:noVBand="1"/>
      </w:tblPr>
      <w:tblGrid>
        <w:gridCol w:w="2250"/>
        <w:gridCol w:w="1300"/>
        <w:gridCol w:w="1300"/>
      </w:tblGrid>
      <w:tr w:rsidR="009E326B" w:rsidRPr="009E326B" w14:paraId="2D32BB28" w14:textId="77777777" w:rsidTr="009E326B">
        <w:trPr>
          <w:trHeight w:val="340"/>
          <w:jc w:val="center"/>
        </w:trPr>
        <w:tc>
          <w:tcPr>
            <w:tcW w:w="2250" w:type="dxa"/>
            <w:tcBorders>
              <w:top w:val="single" w:sz="8" w:space="0" w:color="auto"/>
              <w:left w:val="nil"/>
              <w:bottom w:val="single" w:sz="8" w:space="0" w:color="auto"/>
              <w:right w:val="nil"/>
            </w:tcBorders>
            <w:shd w:val="clear" w:color="auto" w:fill="auto"/>
            <w:vAlign w:val="center"/>
            <w:hideMark/>
          </w:tcPr>
          <w:p w14:paraId="1CB31BFE"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 </w:t>
            </w:r>
          </w:p>
        </w:tc>
        <w:tc>
          <w:tcPr>
            <w:tcW w:w="1300" w:type="dxa"/>
            <w:tcBorders>
              <w:top w:val="single" w:sz="8" w:space="0" w:color="auto"/>
              <w:left w:val="nil"/>
              <w:bottom w:val="single" w:sz="8" w:space="0" w:color="auto"/>
              <w:right w:val="nil"/>
            </w:tcBorders>
            <w:shd w:val="clear" w:color="auto" w:fill="auto"/>
            <w:vAlign w:val="center"/>
            <w:hideMark/>
          </w:tcPr>
          <w:p w14:paraId="1E4591B4"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Yes</w:t>
            </w:r>
          </w:p>
        </w:tc>
        <w:tc>
          <w:tcPr>
            <w:tcW w:w="1300" w:type="dxa"/>
            <w:tcBorders>
              <w:top w:val="single" w:sz="8" w:space="0" w:color="auto"/>
              <w:left w:val="nil"/>
              <w:bottom w:val="single" w:sz="8" w:space="0" w:color="auto"/>
              <w:right w:val="nil"/>
            </w:tcBorders>
            <w:shd w:val="clear" w:color="auto" w:fill="auto"/>
            <w:vAlign w:val="center"/>
            <w:hideMark/>
          </w:tcPr>
          <w:p w14:paraId="6DF3633B"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No</w:t>
            </w:r>
          </w:p>
        </w:tc>
      </w:tr>
      <w:tr w:rsidR="009E326B" w:rsidRPr="009E326B" w14:paraId="2DC42B0A" w14:textId="77777777" w:rsidTr="009E326B">
        <w:trPr>
          <w:trHeight w:val="320"/>
          <w:jc w:val="center"/>
        </w:trPr>
        <w:tc>
          <w:tcPr>
            <w:tcW w:w="2250" w:type="dxa"/>
            <w:tcBorders>
              <w:top w:val="nil"/>
              <w:left w:val="nil"/>
              <w:bottom w:val="nil"/>
              <w:right w:val="nil"/>
            </w:tcBorders>
            <w:shd w:val="clear" w:color="auto" w:fill="auto"/>
            <w:vAlign w:val="center"/>
            <w:hideMark/>
          </w:tcPr>
          <w:p w14:paraId="0E42B697" w14:textId="77777777" w:rsidR="009E326B" w:rsidRPr="009E326B" w:rsidRDefault="009E326B" w:rsidP="009E326B">
            <w:pPr>
              <w:jc w:val="both"/>
              <w:rPr>
                <w:rFonts w:eastAsia="Times New Roman" w:cs="Times New Roman"/>
                <w:color w:val="000000"/>
              </w:rPr>
            </w:pPr>
            <w:r w:rsidRPr="009E326B">
              <w:rPr>
                <w:rFonts w:eastAsia="Times New Roman" w:cs="Times New Roman"/>
                <w:color w:val="000000"/>
              </w:rPr>
              <w:t xml:space="preserve">Executive function </w:t>
            </w:r>
          </w:p>
        </w:tc>
        <w:tc>
          <w:tcPr>
            <w:tcW w:w="1300" w:type="dxa"/>
            <w:tcBorders>
              <w:top w:val="nil"/>
              <w:left w:val="nil"/>
              <w:bottom w:val="nil"/>
              <w:right w:val="nil"/>
            </w:tcBorders>
            <w:shd w:val="clear" w:color="auto" w:fill="auto"/>
            <w:vAlign w:val="center"/>
            <w:hideMark/>
          </w:tcPr>
          <w:p w14:paraId="30637627"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17.14%</w:t>
            </w:r>
          </w:p>
        </w:tc>
        <w:tc>
          <w:tcPr>
            <w:tcW w:w="1300" w:type="dxa"/>
            <w:tcBorders>
              <w:top w:val="nil"/>
              <w:left w:val="nil"/>
              <w:bottom w:val="nil"/>
              <w:right w:val="nil"/>
            </w:tcBorders>
            <w:shd w:val="clear" w:color="auto" w:fill="auto"/>
            <w:vAlign w:val="center"/>
            <w:hideMark/>
          </w:tcPr>
          <w:p w14:paraId="72B891F4"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82.86%</w:t>
            </w:r>
          </w:p>
        </w:tc>
      </w:tr>
      <w:tr w:rsidR="009E326B" w:rsidRPr="009E326B" w14:paraId="59B98A6C" w14:textId="77777777" w:rsidTr="009E326B">
        <w:trPr>
          <w:trHeight w:val="320"/>
          <w:jc w:val="center"/>
        </w:trPr>
        <w:tc>
          <w:tcPr>
            <w:tcW w:w="2250" w:type="dxa"/>
            <w:tcBorders>
              <w:top w:val="nil"/>
              <w:left w:val="nil"/>
              <w:bottom w:val="nil"/>
              <w:right w:val="nil"/>
            </w:tcBorders>
            <w:shd w:val="clear" w:color="auto" w:fill="auto"/>
            <w:vAlign w:val="center"/>
            <w:hideMark/>
          </w:tcPr>
          <w:p w14:paraId="59B3D99A"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 xml:space="preserve">Memory </w:t>
            </w:r>
          </w:p>
        </w:tc>
        <w:tc>
          <w:tcPr>
            <w:tcW w:w="1300" w:type="dxa"/>
            <w:tcBorders>
              <w:top w:val="nil"/>
              <w:left w:val="nil"/>
              <w:bottom w:val="nil"/>
              <w:right w:val="nil"/>
            </w:tcBorders>
            <w:shd w:val="clear" w:color="auto" w:fill="auto"/>
            <w:vAlign w:val="center"/>
            <w:hideMark/>
          </w:tcPr>
          <w:p w14:paraId="63AFC0E9"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22.86%</w:t>
            </w:r>
          </w:p>
        </w:tc>
        <w:tc>
          <w:tcPr>
            <w:tcW w:w="1300" w:type="dxa"/>
            <w:tcBorders>
              <w:top w:val="nil"/>
              <w:left w:val="nil"/>
              <w:bottom w:val="nil"/>
              <w:right w:val="nil"/>
            </w:tcBorders>
            <w:shd w:val="clear" w:color="auto" w:fill="auto"/>
            <w:vAlign w:val="center"/>
            <w:hideMark/>
          </w:tcPr>
          <w:p w14:paraId="68888DEC"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77.14%</w:t>
            </w:r>
          </w:p>
        </w:tc>
      </w:tr>
      <w:tr w:rsidR="009E326B" w:rsidRPr="009E326B" w14:paraId="0FA69A04" w14:textId="77777777" w:rsidTr="009E326B">
        <w:trPr>
          <w:trHeight w:val="320"/>
          <w:jc w:val="center"/>
        </w:trPr>
        <w:tc>
          <w:tcPr>
            <w:tcW w:w="2250" w:type="dxa"/>
            <w:tcBorders>
              <w:top w:val="nil"/>
              <w:left w:val="nil"/>
              <w:bottom w:val="nil"/>
              <w:right w:val="nil"/>
            </w:tcBorders>
            <w:shd w:val="clear" w:color="auto" w:fill="auto"/>
            <w:vAlign w:val="center"/>
            <w:hideMark/>
          </w:tcPr>
          <w:p w14:paraId="3E003C75"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Global cognition</w:t>
            </w:r>
          </w:p>
        </w:tc>
        <w:tc>
          <w:tcPr>
            <w:tcW w:w="1300" w:type="dxa"/>
            <w:tcBorders>
              <w:top w:val="nil"/>
              <w:left w:val="nil"/>
              <w:bottom w:val="nil"/>
              <w:right w:val="nil"/>
            </w:tcBorders>
            <w:shd w:val="clear" w:color="auto" w:fill="auto"/>
            <w:vAlign w:val="center"/>
            <w:hideMark/>
          </w:tcPr>
          <w:p w14:paraId="2A1C2B92"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28.57%</w:t>
            </w:r>
          </w:p>
        </w:tc>
        <w:tc>
          <w:tcPr>
            <w:tcW w:w="1300" w:type="dxa"/>
            <w:tcBorders>
              <w:top w:val="nil"/>
              <w:left w:val="nil"/>
              <w:bottom w:val="nil"/>
              <w:right w:val="nil"/>
            </w:tcBorders>
            <w:shd w:val="clear" w:color="auto" w:fill="auto"/>
            <w:vAlign w:val="center"/>
            <w:hideMark/>
          </w:tcPr>
          <w:p w14:paraId="15C05C6E"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71.43%</w:t>
            </w:r>
          </w:p>
        </w:tc>
      </w:tr>
      <w:tr w:rsidR="009E326B" w:rsidRPr="009E326B" w14:paraId="17F34921" w14:textId="77777777" w:rsidTr="009E326B">
        <w:trPr>
          <w:trHeight w:val="320"/>
          <w:jc w:val="center"/>
        </w:trPr>
        <w:tc>
          <w:tcPr>
            <w:tcW w:w="2250" w:type="dxa"/>
            <w:tcBorders>
              <w:top w:val="nil"/>
              <w:left w:val="nil"/>
              <w:bottom w:val="nil"/>
              <w:right w:val="nil"/>
            </w:tcBorders>
            <w:shd w:val="clear" w:color="auto" w:fill="auto"/>
            <w:vAlign w:val="center"/>
            <w:hideMark/>
          </w:tcPr>
          <w:p w14:paraId="056F4BD2"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General mood</w:t>
            </w:r>
          </w:p>
        </w:tc>
        <w:tc>
          <w:tcPr>
            <w:tcW w:w="1300" w:type="dxa"/>
            <w:tcBorders>
              <w:top w:val="nil"/>
              <w:left w:val="nil"/>
              <w:bottom w:val="nil"/>
              <w:right w:val="nil"/>
            </w:tcBorders>
            <w:shd w:val="clear" w:color="auto" w:fill="auto"/>
            <w:vAlign w:val="center"/>
            <w:hideMark/>
          </w:tcPr>
          <w:p w14:paraId="19BC6BE4"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28.57%</w:t>
            </w:r>
          </w:p>
        </w:tc>
        <w:tc>
          <w:tcPr>
            <w:tcW w:w="1300" w:type="dxa"/>
            <w:tcBorders>
              <w:top w:val="nil"/>
              <w:left w:val="nil"/>
              <w:bottom w:val="nil"/>
              <w:right w:val="nil"/>
            </w:tcBorders>
            <w:shd w:val="clear" w:color="auto" w:fill="auto"/>
            <w:vAlign w:val="center"/>
            <w:hideMark/>
          </w:tcPr>
          <w:p w14:paraId="6C83D0EF"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71.43%</w:t>
            </w:r>
          </w:p>
        </w:tc>
      </w:tr>
      <w:tr w:rsidR="009E326B" w:rsidRPr="009E326B" w14:paraId="2409B785" w14:textId="77777777" w:rsidTr="009E326B">
        <w:trPr>
          <w:trHeight w:val="320"/>
          <w:jc w:val="center"/>
        </w:trPr>
        <w:tc>
          <w:tcPr>
            <w:tcW w:w="2250" w:type="dxa"/>
            <w:tcBorders>
              <w:top w:val="nil"/>
              <w:left w:val="nil"/>
              <w:bottom w:val="nil"/>
              <w:right w:val="nil"/>
            </w:tcBorders>
            <w:shd w:val="clear" w:color="auto" w:fill="auto"/>
            <w:vAlign w:val="center"/>
            <w:hideMark/>
          </w:tcPr>
          <w:p w14:paraId="6B492478"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Depression</w:t>
            </w:r>
          </w:p>
        </w:tc>
        <w:tc>
          <w:tcPr>
            <w:tcW w:w="1300" w:type="dxa"/>
            <w:tcBorders>
              <w:top w:val="nil"/>
              <w:left w:val="nil"/>
              <w:bottom w:val="nil"/>
              <w:right w:val="nil"/>
            </w:tcBorders>
            <w:shd w:val="clear" w:color="auto" w:fill="auto"/>
            <w:vAlign w:val="center"/>
            <w:hideMark/>
          </w:tcPr>
          <w:p w14:paraId="7008F33F"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40.00%</w:t>
            </w:r>
          </w:p>
        </w:tc>
        <w:tc>
          <w:tcPr>
            <w:tcW w:w="1300" w:type="dxa"/>
            <w:tcBorders>
              <w:top w:val="nil"/>
              <w:left w:val="nil"/>
              <w:bottom w:val="nil"/>
              <w:right w:val="nil"/>
            </w:tcBorders>
            <w:shd w:val="clear" w:color="auto" w:fill="auto"/>
            <w:vAlign w:val="center"/>
            <w:hideMark/>
          </w:tcPr>
          <w:p w14:paraId="2268A835"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60.00%</w:t>
            </w:r>
          </w:p>
        </w:tc>
      </w:tr>
      <w:tr w:rsidR="009E326B" w:rsidRPr="009E326B" w14:paraId="2812B581" w14:textId="77777777" w:rsidTr="009E326B">
        <w:trPr>
          <w:trHeight w:val="320"/>
          <w:jc w:val="center"/>
        </w:trPr>
        <w:tc>
          <w:tcPr>
            <w:tcW w:w="2250" w:type="dxa"/>
            <w:tcBorders>
              <w:top w:val="nil"/>
              <w:left w:val="nil"/>
              <w:bottom w:val="nil"/>
              <w:right w:val="nil"/>
            </w:tcBorders>
            <w:shd w:val="clear" w:color="auto" w:fill="auto"/>
            <w:vAlign w:val="center"/>
            <w:hideMark/>
          </w:tcPr>
          <w:p w14:paraId="23D240FC"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Instrumental ADLs</w:t>
            </w:r>
          </w:p>
        </w:tc>
        <w:tc>
          <w:tcPr>
            <w:tcW w:w="1300" w:type="dxa"/>
            <w:tcBorders>
              <w:top w:val="nil"/>
              <w:left w:val="nil"/>
              <w:bottom w:val="nil"/>
              <w:right w:val="nil"/>
            </w:tcBorders>
            <w:shd w:val="clear" w:color="auto" w:fill="auto"/>
            <w:vAlign w:val="center"/>
            <w:hideMark/>
          </w:tcPr>
          <w:p w14:paraId="5413CAF4"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40.00%</w:t>
            </w:r>
          </w:p>
        </w:tc>
        <w:tc>
          <w:tcPr>
            <w:tcW w:w="1300" w:type="dxa"/>
            <w:tcBorders>
              <w:top w:val="nil"/>
              <w:left w:val="nil"/>
              <w:bottom w:val="nil"/>
              <w:right w:val="nil"/>
            </w:tcBorders>
            <w:shd w:val="clear" w:color="auto" w:fill="auto"/>
            <w:vAlign w:val="center"/>
            <w:hideMark/>
          </w:tcPr>
          <w:p w14:paraId="165DD074"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60.00%</w:t>
            </w:r>
          </w:p>
        </w:tc>
      </w:tr>
      <w:tr w:rsidR="009E326B" w:rsidRPr="009E326B" w14:paraId="282550CA" w14:textId="77777777" w:rsidTr="009E326B">
        <w:trPr>
          <w:trHeight w:val="320"/>
          <w:jc w:val="center"/>
        </w:trPr>
        <w:tc>
          <w:tcPr>
            <w:tcW w:w="2250" w:type="dxa"/>
            <w:tcBorders>
              <w:top w:val="nil"/>
              <w:left w:val="nil"/>
              <w:bottom w:val="nil"/>
              <w:right w:val="nil"/>
            </w:tcBorders>
            <w:shd w:val="clear" w:color="auto" w:fill="auto"/>
            <w:vAlign w:val="center"/>
            <w:hideMark/>
          </w:tcPr>
          <w:p w14:paraId="70C9D4A7"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Anxiety</w:t>
            </w:r>
          </w:p>
        </w:tc>
        <w:tc>
          <w:tcPr>
            <w:tcW w:w="1300" w:type="dxa"/>
            <w:tcBorders>
              <w:top w:val="nil"/>
              <w:left w:val="nil"/>
              <w:bottom w:val="nil"/>
              <w:right w:val="nil"/>
            </w:tcBorders>
            <w:shd w:val="clear" w:color="auto" w:fill="auto"/>
            <w:vAlign w:val="center"/>
            <w:hideMark/>
          </w:tcPr>
          <w:p w14:paraId="09EFECC1"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45.71%</w:t>
            </w:r>
          </w:p>
        </w:tc>
        <w:tc>
          <w:tcPr>
            <w:tcW w:w="1300" w:type="dxa"/>
            <w:tcBorders>
              <w:top w:val="nil"/>
              <w:left w:val="nil"/>
              <w:bottom w:val="nil"/>
              <w:right w:val="nil"/>
            </w:tcBorders>
            <w:shd w:val="clear" w:color="auto" w:fill="auto"/>
            <w:vAlign w:val="center"/>
            <w:hideMark/>
          </w:tcPr>
          <w:p w14:paraId="545A52BF"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54.29%</w:t>
            </w:r>
          </w:p>
        </w:tc>
      </w:tr>
      <w:tr w:rsidR="009E326B" w:rsidRPr="009E326B" w14:paraId="08C4CCD7" w14:textId="77777777" w:rsidTr="009E326B">
        <w:trPr>
          <w:trHeight w:val="340"/>
          <w:jc w:val="center"/>
        </w:trPr>
        <w:tc>
          <w:tcPr>
            <w:tcW w:w="2250" w:type="dxa"/>
            <w:tcBorders>
              <w:top w:val="nil"/>
              <w:left w:val="nil"/>
              <w:bottom w:val="single" w:sz="8" w:space="0" w:color="auto"/>
              <w:right w:val="nil"/>
            </w:tcBorders>
            <w:shd w:val="clear" w:color="auto" w:fill="auto"/>
            <w:vAlign w:val="center"/>
            <w:hideMark/>
          </w:tcPr>
          <w:p w14:paraId="3A992256"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Basic ADLs</w:t>
            </w:r>
          </w:p>
        </w:tc>
        <w:tc>
          <w:tcPr>
            <w:tcW w:w="1300" w:type="dxa"/>
            <w:tcBorders>
              <w:top w:val="nil"/>
              <w:left w:val="nil"/>
              <w:bottom w:val="single" w:sz="8" w:space="0" w:color="auto"/>
              <w:right w:val="nil"/>
            </w:tcBorders>
            <w:shd w:val="clear" w:color="auto" w:fill="auto"/>
            <w:vAlign w:val="center"/>
            <w:hideMark/>
          </w:tcPr>
          <w:p w14:paraId="1FC705A0"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48.57%</w:t>
            </w:r>
          </w:p>
        </w:tc>
        <w:tc>
          <w:tcPr>
            <w:tcW w:w="1300" w:type="dxa"/>
            <w:tcBorders>
              <w:top w:val="nil"/>
              <w:left w:val="nil"/>
              <w:bottom w:val="single" w:sz="8" w:space="0" w:color="auto"/>
              <w:right w:val="nil"/>
            </w:tcBorders>
            <w:shd w:val="clear" w:color="auto" w:fill="auto"/>
            <w:vAlign w:val="center"/>
            <w:hideMark/>
          </w:tcPr>
          <w:p w14:paraId="312F906F"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51.43%</w:t>
            </w:r>
          </w:p>
        </w:tc>
      </w:tr>
    </w:tbl>
    <w:p w14:paraId="4874C04E" w14:textId="77777777" w:rsidR="009E326B" w:rsidRDefault="009E326B" w:rsidP="009E326B">
      <w:pPr>
        <w:spacing w:line="480" w:lineRule="auto"/>
        <w:ind w:firstLine="720"/>
        <w:jc w:val="both"/>
        <w:rPr>
          <w:rFonts w:cs="Times New Roman"/>
        </w:rPr>
      </w:pPr>
    </w:p>
    <w:p w14:paraId="199848D2" w14:textId="69B257FD" w:rsidR="000E0BF3" w:rsidRPr="000E7469" w:rsidRDefault="000E0BF3" w:rsidP="000E0BF3">
      <w:pPr>
        <w:spacing w:line="480" w:lineRule="auto"/>
        <w:ind w:firstLine="720"/>
        <w:rPr>
          <w:rFonts w:cs="Times New Roman"/>
        </w:rPr>
      </w:pPr>
      <w:r>
        <w:rPr>
          <w:rFonts w:cs="Times New Roman"/>
        </w:rPr>
        <w:t>Nursing staff</w:t>
      </w:r>
      <w:r w:rsidRPr="000E7469">
        <w:rPr>
          <w:rFonts w:cs="Times New Roman"/>
        </w:rPr>
        <w:t xml:space="preserve"> estimated that hospital discharge/transfer summaries contain information about cognitive or mood functioning (other than a diagnosis) only 22.9% (</w:t>
      </w:r>
      <w:r w:rsidRPr="000E7469">
        <w:rPr>
          <w:rFonts w:cs="Times New Roman"/>
          <w:i/>
        </w:rPr>
        <w:t>SD</w:t>
      </w:r>
      <w:r w:rsidRPr="000E7469">
        <w:rPr>
          <w:rFonts w:cs="Times New Roman"/>
        </w:rPr>
        <w:t xml:space="preserve"> = 20.4) and 16.7% </w:t>
      </w:r>
      <w:r w:rsidRPr="000E7469">
        <w:rPr>
          <w:rFonts w:cs="Times New Roman"/>
        </w:rPr>
        <w:lastRenderedPageBreak/>
        <w:t>(</w:t>
      </w:r>
      <w:r w:rsidRPr="000E7469">
        <w:rPr>
          <w:rFonts w:cs="Times New Roman"/>
          <w:i/>
        </w:rPr>
        <w:t>SD</w:t>
      </w:r>
      <w:r w:rsidRPr="000E7469">
        <w:rPr>
          <w:rFonts w:cs="Times New Roman"/>
        </w:rPr>
        <w:t xml:space="preserve"> = 15.3) of</w:t>
      </w:r>
      <w:r>
        <w:rPr>
          <w:rFonts w:cs="Times New Roman"/>
        </w:rPr>
        <w:t xml:space="preserve"> the</w:t>
      </w:r>
      <w:r w:rsidRPr="000E7469">
        <w:rPr>
          <w:rFonts w:cs="Times New Roman"/>
        </w:rPr>
        <w:t xml:space="preserve"> time, respectively. Even </w:t>
      </w:r>
      <w:r w:rsidR="009B0DDF">
        <w:rPr>
          <w:rFonts w:cs="Times New Roman"/>
        </w:rPr>
        <w:t xml:space="preserve">fewer of them reported </w:t>
      </w:r>
      <w:r w:rsidR="009E326B">
        <w:rPr>
          <w:rFonts w:cs="Times New Roman"/>
        </w:rPr>
        <w:t>receiving</w:t>
      </w:r>
      <w:r w:rsidRPr="000E7469">
        <w:rPr>
          <w:rFonts w:cs="Times New Roman"/>
        </w:rPr>
        <w:t xml:space="preserve"> hospital discharge or transfer summaries </w:t>
      </w:r>
      <w:r w:rsidR="009B0DDF">
        <w:rPr>
          <w:rFonts w:cs="Times New Roman"/>
        </w:rPr>
        <w:t>with</w:t>
      </w:r>
      <w:r w:rsidRPr="000E7469">
        <w:rPr>
          <w:rFonts w:cs="Times New Roman"/>
        </w:rPr>
        <w:t xml:space="preserve"> the results of a cognitive or mood measure: 14.2% (SD = 19.1) of the time for cognitive measures and 8.0% (</w:t>
      </w:r>
      <w:r w:rsidRPr="000E7469">
        <w:rPr>
          <w:rFonts w:cs="Times New Roman"/>
          <w:i/>
        </w:rPr>
        <w:t>SD</w:t>
      </w:r>
      <w:r w:rsidRPr="000E7469">
        <w:rPr>
          <w:rFonts w:cs="Times New Roman"/>
        </w:rPr>
        <w:t xml:space="preserve"> = 13.3) of time for mood measures. Yet, all </w:t>
      </w:r>
      <w:r>
        <w:rPr>
          <w:rFonts w:cs="Times New Roman"/>
        </w:rPr>
        <w:t>nursing staff</w:t>
      </w:r>
      <w:r w:rsidRPr="000E7469">
        <w:rPr>
          <w:rFonts w:cs="Times New Roman"/>
        </w:rPr>
        <w:t xml:space="preserve"> underscored the importance of the accurate assessment of residents</w:t>
      </w:r>
      <w:r>
        <w:rPr>
          <w:rFonts w:cs="Times New Roman"/>
        </w:rPr>
        <w:t>’</w:t>
      </w:r>
      <w:r w:rsidRPr="000E7469">
        <w:rPr>
          <w:rFonts w:cs="Times New Roman"/>
        </w:rPr>
        <w:t xml:space="preserve"> current cognitive and mood functioning either prior to or at the time of admission. In fact, 84.8% of </w:t>
      </w:r>
      <w:r>
        <w:rPr>
          <w:rFonts w:cs="Times New Roman"/>
        </w:rPr>
        <w:t>nursing staff</w:t>
      </w:r>
      <w:r w:rsidRPr="000E7469">
        <w:rPr>
          <w:rFonts w:cs="Times New Roman"/>
        </w:rPr>
        <w:t xml:space="preserve"> reported that accurate cognitive assessment is </w:t>
      </w:r>
      <w:r>
        <w:rPr>
          <w:rFonts w:cs="Times New Roman"/>
        </w:rPr>
        <w:t>‘</w:t>
      </w:r>
      <w:r w:rsidRPr="000E7469">
        <w:rPr>
          <w:rFonts w:cs="Times New Roman"/>
        </w:rPr>
        <w:t>very important</w:t>
      </w:r>
      <w:r>
        <w:rPr>
          <w:rFonts w:cs="Times New Roman"/>
        </w:rPr>
        <w:t>’</w:t>
      </w:r>
      <w:r w:rsidRPr="000E7469">
        <w:rPr>
          <w:rFonts w:cs="Times New Roman"/>
        </w:rPr>
        <w:t xml:space="preserve"> (15.2%, </w:t>
      </w:r>
      <w:r>
        <w:rPr>
          <w:rFonts w:cs="Times New Roman"/>
        </w:rPr>
        <w:t>‘</w:t>
      </w:r>
      <w:r w:rsidRPr="000E7469">
        <w:rPr>
          <w:rFonts w:cs="Times New Roman"/>
        </w:rPr>
        <w:t>somewhat important</w:t>
      </w:r>
      <w:r>
        <w:rPr>
          <w:rFonts w:cs="Times New Roman"/>
        </w:rPr>
        <w:t>’</w:t>
      </w:r>
      <w:r w:rsidRPr="000E7469">
        <w:rPr>
          <w:rFonts w:cs="Times New Roman"/>
        </w:rPr>
        <w:t xml:space="preserve">) and 66.7% rated accurate mood assessment as </w:t>
      </w:r>
      <w:r>
        <w:rPr>
          <w:rFonts w:cs="Times New Roman"/>
        </w:rPr>
        <w:t>‘</w:t>
      </w:r>
      <w:r w:rsidRPr="000E7469">
        <w:rPr>
          <w:rFonts w:cs="Times New Roman"/>
        </w:rPr>
        <w:t>very important</w:t>
      </w:r>
      <w:r>
        <w:rPr>
          <w:rFonts w:cs="Times New Roman"/>
        </w:rPr>
        <w:t>’</w:t>
      </w:r>
      <w:r w:rsidRPr="000E7469">
        <w:rPr>
          <w:rFonts w:cs="Times New Roman"/>
        </w:rPr>
        <w:t xml:space="preserve"> (33.3%, </w:t>
      </w:r>
      <w:r>
        <w:rPr>
          <w:rFonts w:cs="Times New Roman"/>
        </w:rPr>
        <w:t>‘</w:t>
      </w:r>
      <w:r w:rsidRPr="000E7469">
        <w:rPr>
          <w:rFonts w:cs="Times New Roman"/>
        </w:rPr>
        <w:t>somewhat important</w:t>
      </w:r>
      <w:r>
        <w:rPr>
          <w:rFonts w:cs="Times New Roman"/>
        </w:rPr>
        <w:t>’</w:t>
      </w:r>
      <w:r w:rsidRPr="000E7469">
        <w:rPr>
          <w:rFonts w:cs="Times New Roman"/>
        </w:rPr>
        <w:t>). Tables 2 and 3 illustrate</w:t>
      </w:r>
      <w:r w:rsidR="009B0DDF">
        <w:rPr>
          <w:rFonts w:cs="Times New Roman"/>
        </w:rPr>
        <w:t xml:space="preserve"> the ways that receiving adequate cognitive and mood assessment information at or before admission could improve aspects of post-acute resident care. </w:t>
      </w:r>
    </w:p>
    <w:p w14:paraId="022E4CE0" w14:textId="77777777" w:rsidR="000E0BF3" w:rsidRPr="000E7469" w:rsidRDefault="000E0BF3" w:rsidP="000E0BF3">
      <w:pPr>
        <w:spacing w:line="480" w:lineRule="auto"/>
        <w:ind w:left="720"/>
        <w:rPr>
          <w:rFonts w:cs="Times New Roman"/>
          <w:i/>
        </w:rPr>
      </w:pPr>
      <w:r w:rsidRPr="000E7469">
        <w:rPr>
          <w:rFonts w:cs="Times New Roman"/>
          <w:i/>
        </w:rPr>
        <w:t>Table 2. “Adequate cognitive assessment information could improve…”</w:t>
      </w:r>
    </w:p>
    <w:tbl>
      <w:tblPr>
        <w:tblW w:w="7980" w:type="dxa"/>
        <w:jc w:val="center"/>
        <w:tblLook w:val="04A0" w:firstRow="1" w:lastRow="0" w:firstColumn="1" w:lastColumn="0" w:noHBand="0" w:noVBand="1"/>
      </w:tblPr>
      <w:tblGrid>
        <w:gridCol w:w="5380"/>
        <w:gridCol w:w="1300"/>
        <w:gridCol w:w="1300"/>
      </w:tblGrid>
      <w:tr w:rsidR="009E326B" w:rsidRPr="009E326B" w14:paraId="78261F48" w14:textId="77777777" w:rsidTr="009E326B">
        <w:trPr>
          <w:trHeight w:val="340"/>
          <w:jc w:val="center"/>
        </w:trPr>
        <w:tc>
          <w:tcPr>
            <w:tcW w:w="5380" w:type="dxa"/>
            <w:tcBorders>
              <w:top w:val="single" w:sz="8" w:space="0" w:color="auto"/>
              <w:left w:val="nil"/>
              <w:bottom w:val="single" w:sz="8" w:space="0" w:color="auto"/>
              <w:right w:val="nil"/>
            </w:tcBorders>
            <w:shd w:val="clear" w:color="auto" w:fill="auto"/>
            <w:vAlign w:val="center"/>
            <w:hideMark/>
          </w:tcPr>
          <w:p w14:paraId="62913A58"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 </w:t>
            </w:r>
          </w:p>
        </w:tc>
        <w:tc>
          <w:tcPr>
            <w:tcW w:w="1300" w:type="dxa"/>
            <w:tcBorders>
              <w:top w:val="single" w:sz="8" w:space="0" w:color="auto"/>
              <w:left w:val="nil"/>
              <w:bottom w:val="single" w:sz="8" w:space="0" w:color="auto"/>
              <w:right w:val="nil"/>
            </w:tcBorders>
            <w:shd w:val="clear" w:color="auto" w:fill="auto"/>
            <w:vAlign w:val="center"/>
            <w:hideMark/>
          </w:tcPr>
          <w:p w14:paraId="7878349B"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Yes</w:t>
            </w:r>
          </w:p>
        </w:tc>
        <w:tc>
          <w:tcPr>
            <w:tcW w:w="1300" w:type="dxa"/>
            <w:tcBorders>
              <w:top w:val="single" w:sz="8" w:space="0" w:color="auto"/>
              <w:left w:val="nil"/>
              <w:bottom w:val="single" w:sz="8" w:space="0" w:color="auto"/>
              <w:right w:val="nil"/>
            </w:tcBorders>
            <w:shd w:val="clear" w:color="auto" w:fill="auto"/>
            <w:vAlign w:val="center"/>
            <w:hideMark/>
          </w:tcPr>
          <w:p w14:paraId="36871B11"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No</w:t>
            </w:r>
          </w:p>
        </w:tc>
      </w:tr>
      <w:tr w:rsidR="009E326B" w:rsidRPr="009E326B" w14:paraId="172639F5" w14:textId="77777777" w:rsidTr="009E326B">
        <w:trPr>
          <w:trHeight w:val="320"/>
          <w:jc w:val="center"/>
        </w:trPr>
        <w:tc>
          <w:tcPr>
            <w:tcW w:w="5380" w:type="dxa"/>
            <w:tcBorders>
              <w:top w:val="nil"/>
              <w:left w:val="nil"/>
              <w:bottom w:val="nil"/>
              <w:right w:val="nil"/>
            </w:tcBorders>
            <w:shd w:val="clear" w:color="auto" w:fill="auto"/>
            <w:vAlign w:val="center"/>
            <w:hideMark/>
          </w:tcPr>
          <w:p w14:paraId="698B11A1"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Person-centered care</w:t>
            </w:r>
          </w:p>
        </w:tc>
        <w:tc>
          <w:tcPr>
            <w:tcW w:w="1300" w:type="dxa"/>
            <w:tcBorders>
              <w:top w:val="nil"/>
              <w:left w:val="nil"/>
              <w:bottom w:val="nil"/>
              <w:right w:val="nil"/>
            </w:tcBorders>
            <w:shd w:val="clear" w:color="auto" w:fill="auto"/>
            <w:vAlign w:val="center"/>
            <w:hideMark/>
          </w:tcPr>
          <w:p w14:paraId="17302CBA"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93.94%</w:t>
            </w:r>
          </w:p>
        </w:tc>
        <w:tc>
          <w:tcPr>
            <w:tcW w:w="1300" w:type="dxa"/>
            <w:tcBorders>
              <w:top w:val="nil"/>
              <w:left w:val="nil"/>
              <w:bottom w:val="nil"/>
              <w:right w:val="nil"/>
            </w:tcBorders>
            <w:shd w:val="clear" w:color="auto" w:fill="auto"/>
            <w:vAlign w:val="center"/>
            <w:hideMark/>
          </w:tcPr>
          <w:p w14:paraId="2E3089E1"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6.06%</w:t>
            </w:r>
          </w:p>
        </w:tc>
      </w:tr>
      <w:tr w:rsidR="009E326B" w:rsidRPr="009E326B" w14:paraId="0BF52A93" w14:textId="77777777" w:rsidTr="009E326B">
        <w:trPr>
          <w:trHeight w:val="320"/>
          <w:jc w:val="center"/>
        </w:trPr>
        <w:tc>
          <w:tcPr>
            <w:tcW w:w="5380" w:type="dxa"/>
            <w:tcBorders>
              <w:top w:val="nil"/>
              <w:left w:val="nil"/>
              <w:bottom w:val="nil"/>
              <w:right w:val="nil"/>
            </w:tcBorders>
            <w:shd w:val="clear" w:color="auto" w:fill="auto"/>
            <w:vAlign w:val="center"/>
            <w:hideMark/>
          </w:tcPr>
          <w:p w14:paraId="308A2ED7"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Efficiency of rehabilitation for short stay residents</w:t>
            </w:r>
          </w:p>
        </w:tc>
        <w:tc>
          <w:tcPr>
            <w:tcW w:w="1300" w:type="dxa"/>
            <w:tcBorders>
              <w:top w:val="nil"/>
              <w:left w:val="nil"/>
              <w:bottom w:val="nil"/>
              <w:right w:val="nil"/>
            </w:tcBorders>
            <w:shd w:val="clear" w:color="auto" w:fill="auto"/>
            <w:vAlign w:val="center"/>
            <w:hideMark/>
          </w:tcPr>
          <w:p w14:paraId="4033C8D8"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93.94%</w:t>
            </w:r>
          </w:p>
        </w:tc>
        <w:tc>
          <w:tcPr>
            <w:tcW w:w="1300" w:type="dxa"/>
            <w:tcBorders>
              <w:top w:val="nil"/>
              <w:left w:val="nil"/>
              <w:bottom w:val="nil"/>
              <w:right w:val="nil"/>
            </w:tcBorders>
            <w:shd w:val="clear" w:color="auto" w:fill="auto"/>
            <w:vAlign w:val="center"/>
            <w:hideMark/>
          </w:tcPr>
          <w:p w14:paraId="1DACDF09"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6.06%</w:t>
            </w:r>
          </w:p>
        </w:tc>
      </w:tr>
      <w:tr w:rsidR="009E326B" w:rsidRPr="009E326B" w14:paraId="010930BC" w14:textId="77777777" w:rsidTr="009E326B">
        <w:trPr>
          <w:trHeight w:val="320"/>
          <w:jc w:val="center"/>
        </w:trPr>
        <w:tc>
          <w:tcPr>
            <w:tcW w:w="5380" w:type="dxa"/>
            <w:tcBorders>
              <w:top w:val="nil"/>
              <w:left w:val="nil"/>
              <w:bottom w:val="nil"/>
              <w:right w:val="nil"/>
            </w:tcBorders>
            <w:shd w:val="clear" w:color="auto" w:fill="auto"/>
            <w:vAlign w:val="center"/>
            <w:hideMark/>
          </w:tcPr>
          <w:p w14:paraId="576EF5C2"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Effectiveness of rehabilitation for short stay residents</w:t>
            </w:r>
          </w:p>
        </w:tc>
        <w:tc>
          <w:tcPr>
            <w:tcW w:w="1300" w:type="dxa"/>
            <w:tcBorders>
              <w:top w:val="nil"/>
              <w:left w:val="nil"/>
              <w:bottom w:val="nil"/>
              <w:right w:val="nil"/>
            </w:tcBorders>
            <w:shd w:val="clear" w:color="auto" w:fill="auto"/>
            <w:vAlign w:val="center"/>
            <w:hideMark/>
          </w:tcPr>
          <w:p w14:paraId="56D701B2"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93.94%</w:t>
            </w:r>
          </w:p>
        </w:tc>
        <w:tc>
          <w:tcPr>
            <w:tcW w:w="1300" w:type="dxa"/>
            <w:tcBorders>
              <w:top w:val="nil"/>
              <w:left w:val="nil"/>
              <w:bottom w:val="nil"/>
              <w:right w:val="nil"/>
            </w:tcBorders>
            <w:shd w:val="clear" w:color="auto" w:fill="auto"/>
            <w:vAlign w:val="center"/>
            <w:hideMark/>
          </w:tcPr>
          <w:p w14:paraId="1168EAED"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6.06%</w:t>
            </w:r>
          </w:p>
        </w:tc>
      </w:tr>
      <w:tr w:rsidR="009E326B" w:rsidRPr="009E326B" w14:paraId="667AFB74" w14:textId="77777777" w:rsidTr="009E326B">
        <w:trPr>
          <w:trHeight w:val="320"/>
          <w:jc w:val="center"/>
        </w:trPr>
        <w:tc>
          <w:tcPr>
            <w:tcW w:w="5380" w:type="dxa"/>
            <w:tcBorders>
              <w:top w:val="nil"/>
              <w:left w:val="nil"/>
              <w:bottom w:val="nil"/>
              <w:right w:val="nil"/>
            </w:tcBorders>
            <w:shd w:val="clear" w:color="auto" w:fill="auto"/>
            <w:vAlign w:val="center"/>
            <w:hideMark/>
          </w:tcPr>
          <w:p w14:paraId="589F5D55"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Improve the education of family caregivers</w:t>
            </w:r>
          </w:p>
        </w:tc>
        <w:tc>
          <w:tcPr>
            <w:tcW w:w="1300" w:type="dxa"/>
            <w:tcBorders>
              <w:top w:val="nil"/>
              <w:left w:val="nil"/>
              <w:bottom w:val="nil"/>
              <w:right w:val="nil"/>
            </w:tcBorders>
            <w:shd w:val="clear" w:color="auto" w:fill="auto"/>
            <w:vAlign w:val="center"/>
            <w:hideMark/>
          </w:tcPr>
          <w:p w14:paraId="74CC7931"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93.94%</w:t>
            </w:r>
          </w:p>
        </w:tc>
        <w:tc>
          <w:tcPr>
            <w:tcW w:w="1300" w:type="dxa"/>
            <w:tcBorders>
              <w:top w:val="nil"/>
              <w:left w:val="nil"/>
              <w:bottom w:val="nil"/>
              <w:right w:val="nil"/>
            </w:tcBorders>
            <w:shd w:val="clear" w:color="auto" w:fill="auto"/>
            <w:vAlign w:val="center"/>
            <w:hideMark/>
          </w:tcPr>
          <w:p w14:paraId="63524702"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6.06%</w:t>
            </w:r>
          </w:p>
        </w:tc>
      </w:tr>
      <w:tr w:rsidR="009E326B" w:rsidRPr="009E326B" w14:paraId="3F73E9C9" w14:textId="77777777" w:rsidTr="009E326B">
        <w:trPr>
          <w:trHeight w:val="320"/>
          <w:jc w:val="center"/>
        </w:trPr>
        <w:tc>
          <w:tcPr>
            <w:tcW w:w="5380" w:type="dxa"/>
            <w:tcBorders>
              <w:top w:val="nil"/>
              <w:left w:val="nil"/>
              <w:bottom w:val="nil"/>
              <w:right w:val="nil"/>
            </w:tcBorders>
            <w:shd w:val="clear" w:color="auto" w:fill="auto"/>
            <w:vAlign w:val="center"/>
            <w:hideMark/>
          </w:tcPr>
          <w:p w14:paraId="170D8848"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Improve the discharge process</w:t>
            </w:r>
          </w:p>
        </w:tc>
        <w:tc>
          <w:tcPr>
            <w:tcW w:w="1300" w:type="dxa"/>
            <w:tcBorders>
              <w:top w:val="nil"/>
              <w:left w:val="nil"/>
              <w:bottom w:val="nil"/>
              <w:right w:val="nil"/>
            </w:tcBorders>
            <w:shd w:val="clear" w:color="auto" w:fill="auto"/>
            <w:vAlign w:val="center"/>
            <w:hideMark/>
          </w:tcPr>
          <w:p w14:paraId="7D31DE49"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90.91%</w:t>
            </w:r>
          </w:p>
        </w:tc>
        <w:tc>
          <w:tcPr>
            <w:tcW w:w="1300" w:type="dxa"/>
            <w:tcBorders>
              <w:top w:val="nil"/>
              <w:left w:val="nil"/>
              <w:bottom w:val="nil"/>
              <w:right w:val="nil"/>
            </w:tcBorders>
            <w:shd w:val="clear" w:color="auto" w:fill="auto"/>
            <w:vAlign w:val="center"/>
            <w:hideMark/>
          </w:tcPr>
          <w:p w14:paraId="7D299632"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9.09%</w:t>
            </w:r>
          </w:p>
        </w:tc>
      </w:tr>
      <w:tr w:rsidR="009E326B" w:rsidRPr="009E326B" w14:paraId="3ACAD622" w14:textId="77777777" w:rsidTr="009E326B">
        <w:trPr>
          <w:trHeight w:val="340"/>
          <w:jc w:val="center"/>
        </w:trPr>
        <w:tc>
          <w:tcPr>
            <w:tcW w:w="5380" w:type="dxa"/>
            <w:tcBorders>
              <w:top w:val="nil"/>
              <w:left w:val="nil"/>
              <w:bottom w:val="single" w:sz="8" w:space="0" w:color="auto"/>
              <w:right w:val="nil"/>
            </w:tcBorders>
            <w:shd w:val="clear" w:color="auto" w:fill="auto"/>
            <w:vAlign w:val="center"/>
            <w:hideMark/>
          </w:tcPr>
          <w:p w14:paraId="5CDC93F7" w14:textId="77777777" w:rsidR="009E326B" w:rsidRPr="009E326B" w:rsidRDefault="009E326B" w:rsidP="009E326B">
            <w:pPr>
              <w:rPr>
                <w:rFonts w:eastAsia="Times New Roman" w:cs="Times New Roman"/>
                <w:color w:val="000000"/>
              </w:rPr>
            </w:pPr>
            <w:r w:rsidRPr="009E326B">
              <w:rPr>
                <w:rFonts w:eastAsia="Times New Roman" w:cs="Times New Roman"/>
                <w:color w:val="000000"/>
              </w:rPr>
              <w:t>Improve resident compliance with care</w:t>
            </w:r>
          </w:p>
        </w:tc>
        <w:tc>
          <w:tcPr>
            <w:tcW w:w="1300" w:type="dxa"/>
            <w:tcBorders>
              <w:top w:val="nil"/>
              <w:left w:val="nil"/>
              <w:bottom w:val="single" w:sz="8" w:space="0" w:color="auto"/>
              <w:right w:val="nil"/>
            </w:tcBorders>
            <w:shd w:val="clear" w:color="auto" w:fill="auto"/>
            <w:vAlign w:val="center"/>
            <w:hideMark/>
          </w:tcPr>
          <w:p w14:paraId="152563AB"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71.88%</w:t>
            </w:r>
          </w:p>
        </w:tc>
        <w:tc>
          <w:tcPr>
            <w:tcW w:w="1300" w:type="dxa"/>
            <w:tcBorders>
              <w:top w:val="nil"/>
              <w:left w:val="nil"/>
              <w:bottom w:val="single" w:sz="8" w:space="0" w:color="auto"/>
              <w:right w:val="nil"/>
            </w:tcBorders>
            <w:shd w:val="clear" w:color="auto" w:fill="auto"/>
            <w:vAlign w:val="center"/>
            <w:hideMark/>
          </w:tcPr>
          <w:p w14:paraId="566D510A" w14:textId="77777777" w:rsidR="009E326B" w:rsidRPr="009E326B" w:rsidRDefault="009E326B" w:rsidP="009E326B">
            <w:pPr>
              <w:jc w:val="center"/>
              <w:rPr>
                <w:rFonts w:eastAsia="Times New Roman" w:cs="Times New Roman"/>
                <w:color w:val="000000"/>
              </w:rPr>
            </w:pPr>
            <w:r w:rsidRPr="009E326B">
              <w:rPr>
                <w:rFonts w:eastAsia="Times New Roman" w:cs="Times New Roman"/>
                <w:color w:val="000000"/>
              </w:rPr>
              <w:t>28.13%</w:t>
            </w:r>
          </w:p>
        </w:tc>
      </w:tr>
    </w:tbl>
    <w:p w14:paraId="36BACB9A" w14:textId="77777777" w:rsidR="000E0BF3" w:rsidRPr="000E7469" w:rsidRDefault="000E0BF3" w:rsidP="000E0BF3">
      <w:pPr>
        <w:spacing w:line="480" w:lineRule="auto"/>
        <w:rPr>
          <w:rFonts w:cs="Times New Roman"/>
        </w:rPr>
      </w:pPr>
    </w:p>
    <w:p w14:paraId="3721AF68" w14:textId="77777777" w:rsidR="000E0BF3" w:rsidRPr="000E7469" w:rsidRDefault="000E0BF3" w:rsidP="000E0BF3">
      <w:pPr>
        <w:spacing w:line="480" w:lineRule="auto"/>
        <w:ind w:left="720"/>
        <w:outlineLvl w:val="0"/>
        <w:rPr>
          <w:rFonts w:cs="Times New Roman"/>
          <w:i/>
        </w:rPr>
      </w:pPr>
      <w:r w:rsidRPr="000E7469">
        <w:rPr>
          <w:rFonts w:cs="Times New Roman"/>
          <w:i/>
        </w:rPr>
        <w:t>Table 3. “Adequate mood assessment information could improve…”</w:t>
      </w:r>
    </w:p>
    <w:tbl>
      <w:tblPr>
        <w:tblW w:w="7980" w:type="dxa"/>
        <w:jc w:val="center"/>
        <w:tblLook w:val="04A0" w:firstRow="1" w:lastRow="0" w:firstColumn="1" w:lastColumn="0" w:noHBand="0" w:noVBand="1"/>
      </w:tblPr>
      <w:tblGrid>
        <w:gridCol w:w="5380"/>
        <w:gridCol w:w="1300"/>
        <w:gridCol w:w="1300"/>
      </w:tblGrid>
      <w:tr w:rsidR="00351B8D" w:rsidRPr="00351B8D" w14:paraId="52D16A11" w14:textId="77777777" w:rsidTr="00351B8D">
        <w:trPr>
          <w:trHeight w:val="340"/>
          <w:jc w:val="center"/>
        </w:trPr>
        <w:tc>
          <w:tcPr>
            <w:tcW w:w="5380" w:type="dxa"/>
            <w:tcBorders>
              <w:top w:val="single" w:sz="8" w:space="0" w:color="auto"/>
              <w:left w:val="nil"/>
              <w:bottom w:val="single" w:sz="8" w:space="0" w:color="auto"/>
              <w:right w:val="nil"/>
            </w:tcBorders>
            <w:shd w:val="clear" w:color="auto" w:fill="auto"/>
            <w:vAlign w:val="center"/>
            <w:hideMark/>
          </w:tcPr>
          <w:p w14:paraId="7DA03EB1" w14:textId="77777777" w:rsidR="00351B8D" w:rsidRPr="00351B8D" w:rsidRDefault="00351B8D" w:rsidP="00351B8D">
            <w:pPr>
              <w:rPr>
                <w:rFonts w:eastAsia="Times New Roman" w:cs="Times New Roman"/>
                <w:color w:val="000000"/>
              </w:rPr>
            </w:pPr>
            <w:r w:rsidRPr="00351B8D">
              <w:rPr>
                <w:rFonts w:eastAsia="Times New Roman" w:cs="Times New Roman"/>
                <w:color w:val="000000"/>
              </w:rPr>
              <w:t> </w:t>
            </w:r>
          </w:p>
        </w:tc>
        <w:tc>
          <w:tcPr>
            <w:tcW w:w="1300" w:type="dxa"/>
            <w:tcBorders>
              <w:top w:val="single" w:sz="8" w:space="0" w:color="auto"/>
              <w:left w:val="nil"/>
              <w:bottom w:val="single" w:sz="8" w:space="0" w:color="auto"/>
              <w:right w:val="nil"/>
            </w:tcBorders>
            <w:shd w:val="clear" w:color="auto" w:fill="auto"/>
            <w:vAlign w:val="center"/>
            <w:hideMark/>
          </w:tcPr>
          <w:p w14:paraId="079200BE"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Yes</w:t>
            </w:r>
          </w:p>
        </w:tc>
        <w:tc>
          <w:tcPr>
            <w:tcW w:w="1300" w:type="dxa"/>
            <w:tcBorders>
              <w:top w:val="single" w:sz="8" w:space="0" w:color="auto"/>
              <w:left w:val="nil"/>
              <w:bottom w:val="single" w:sz="8" w:space="0" w:color="auto"/>
              <w:right w:val="nil"/>
            </w:tcBorders>
            <w:shd w:val="clear" w:color="auto" w:fill="auto"/>
            <w:vAlign w:val="center"/>
            <w:hideMark/>
          </w:tcPr>
          <w:p w14:paraId="073336FE"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No</w:t>
            </w:r>
          </w:p>
        </w:tc>
      </w:tr>
      <w:tr w:rsidR="00351B8D" w:rsidRPr="00351B8D" w14:paraId="7356BE7A" w14:textId="77777777" w:rsidTr="00351B8D">
        <w:trPr>
          <w:trHeight w:val="320"/>
          <w:jc w:val="center"/>
        </w:trPr>
        <w:tc>
          <w:tcPr>
            <w:tcW w:w="5380" w:type="dxa"/>
            <w:tcBorders>
              <w:top w:val="nil"/>
              <w:left w:val="nil"/>
              <w:bottom w:val="nil"/>
              <w:right w:val="nil"/>
            </w:tcBorders>
            <w:shd w:val="clear" w:color="auto" w:fill="auto"/>
            <w:vAlign w:val="center"/>
            <w:hideMark/>
          </w:tcPr>
          <w:p w14:paraId="46DEE611" w14:textId="77777777" w:rsidR="00351B8D" w:rsidRPr="00351B8D" w:rsidRDefault="00351B8D" w:rsidP="00351B8D">
            <w:pPr>
              <w:rPr>
                <w:rFonts w:eastAsia="Times New Roman" w:cs="Times New Roman"/>
                <w:color w:val="000000"/>
              </w:rPr>
            </w:pPr>
            <w:r w:rsidRPr="00351B8D">
              <w:rPr>
                <w:rFonts w:eastAsia="Times New Roman" w:cs="Times New Roman"/>
                <w:color w:val="000000"/>
              </w:rPr>
              <w:t>Person-centered care</w:t>
            </w:r>
          </w:p>
        </w:tc>
        <w:tc>
          <w:tcPr>
            <w:tcW w:w="1300" w:type="dxa"/>
            <w:tcBorders>
              <w:top w:val="nil"/>
              <w:left w:val="nil"/>
              <w:bottom w:val="nil"/>
              <w:right w:val="nil"/>
            </w:tcBorders>
            <w:shd w:val="clear" w:color="auto" w:fill="auto"/>
            <w:vAlign w:val="center"/>
            <w:hideMark/>
          </w:tcPr>
          <w:p w14:paraId="702CF67C"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93.94%</w:t>
            </w:r>
          </w:p>
        </w:tc>
        <w:tc>
          <w:tcPr>
            <w:tcW w:w="1300" w:type="dxa"/>
            <w:tcBorders>
              <w:top w:val="nil"/>
              <w:left w:val="nil"/>
              <w:bottom w:val="nil"/>
              <w:right w:val="nil"/>
            </w:tcBorders>
            <w:shd w:val="clear" w:color="auto" w:fill="auto"/>
            <w:vAlign w:val="center"/>
            <w:hideMark/>
          </w:tcPr>
          <w:p w14:paraId="07F8EADC"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6.06%</w:t>
            </w:r>
          </w:p>
        </w:tc>
      </w:tr>
      <w:tr w:rsidR="00351B8D" w:rsidRPr="00351B8D" w14:paraId="5D688D08" w14:textId="77777777" w:rsidTr="00351B8D">
        <w:trPr>
          <w:trHeight w:val="320"/>
          <w:jc w:val="center"/>
        </w:trPr>
        <w:tc>
          <w:tcPr>
            <w:tcW w:w="5380" w:type="dxa"/>
            <w:tcBorders>
              <w:top w:val="nil"/>
              <w:left w:val="nil"/>
              <w:bottom w:val="nil"/>
              <w:right w:val="nil"/>
            </w:tcBorders>
            <w:shd w:val="clear" w:color="auto" w:fill="auto"/>
            <w:vAlign w:val="center"/>
            <w:hideMark/>
          </w:tcPr>
          <w:p w14:paraId="61D6563D" w14:textId="77777777" w:rsidR="00351B8D" w:rsidRPr="00351B8D" w:rsidRDefault="00351B8D" w:rsidP="00351B8D">
            <w:pPr>
              <w:rPr>
                <w:rFonts w:eastAsia="Times New Roman" w:cs="Times New Roman"/>
                <w:color w:val="000000"/>
              </w:rPr>
            </w:pPr>
            <w:r w:rsidRPr="00351B8D">
              <w:rPr>
                <w:rFonts w:eastAsia="Times New Roman" w:cs="Times New Roman"/>
                <w:color w:val="000000"/>
              </w:rPr>
              <w:t>Effectiveness of rehabilitation for short stay residents</w:t>
            </w:r>
          </w:p>
        </w:tc>
        <w:tc>
          <w:tcPr>
            <w:tcW w:w="1300" w:type="dxa"/>
            <w:tcBorders>
              <w:top w:val="nil"/>
              <w:left w:val="nil"/>
              <w:bottom w:val="nil"/>
              <w:right w:val="nil"/>
            </w:tcBorders>
            <w:shd w:val="clear" w:color="auto" w:fill="auto"/>
            <w:vAlign w:val="center"/>
            <w:hideMark/>
          </w:tcPr>
          <w:p w14:paraId="76B74F2E"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93.94%</w:t>
            </w:r>
          </w:p>
        </w:tc>
        <w:tc>
          <w:tcPr>
            <w:tcW w:w="1300" w:type="dxa"/>
            <w:tcBorders>
              <w:top w:val="nil"/>
              <w:left w:val="nil"/>
              <w:bottom w:val="nil"/>
              <w:right w:val="nil"/>
            </w:tcBorders>
            <w:shd w:val="clear" w:color="auto" w:fill="auto"/>
            <w:vAlign w:val="center"/>
            <w:hideMark/>
          </w:tcPr>
          <w:p w14:paraId="71657C90"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6.06%</w:t>
            </w:r>
          </w:p>
        </w:tc>
      </w:tr>
      <w:tr w:rsidR="00351B8D" w:rsidRPr="00351B8D" w14:paraId="75C60AB9" w14:textId="77777777" w:rsidTr="00351B8D">
        <w:trPr>
          <w:trHeight w:val="320"/>
          <w:jc w:val="center"/>
        </w:trPr>
        <w:tc>
          <w:tcPr>
            <w:tcW w:w="5380" w:type="dxa"/>
            <w:tcBorders>
              <w:top w:val="nil"/>
              <w:left w:val="nil"/>
              <w:bottom w:val="nil"/>
              <w:right w:val="nil"/>
            </w:tcBorders>
            <w:shd w:val="clear" w:color="auto" w:fill="auto"/>
            <w:vAlign w:val="center"/>
            <w:hideMark/>
          </w:tcPr>
          <w:p w14:paraId="0EF75B54" w14:textId="77777777" w:rsidR="00351B8D" w:rsidRPr="00351B8D" w:rsidRDefault="00351B8D" w:rsidP="00351B8D">
            <w:pPr>
              <w:rPr>
                <w:rFonts w:eastAsia="Times New Roman" w:cs="Times New Roman"/>
                <w:color w:val="000000"/>
              </w:rPr>
            </w:pPr>
            <w:r w:rsidRPr="00351B8D">
              <w:rPr>
                <w:rFonts w:eastAsia="Times New Roman" w:cs="Times New Roman"/>
                <w:color w:val="000000"/>
              </w:rPr>
              <w:t>Improve the education of family caregivers</w:t>
            </w:r>
          </w:p>
        </w:tc>
        <w:tc>
          <w:tcPr>
            <w:tcW w:w="1300" w:type="dxa"/>
            <w:tcBorders>
              <w:top w:val="nil"/>
              <w:left w:val="nil"/>
              <w:bottom w:val="nil"/>
              <w:right w:val="nil"/>
            </w:tcBorders>
            <w:shd w:val="clear" w:color="auto" w:fill="auto"/>
            <w:vAlign w:val="center"/>
            <w:hideMark/>
          </w:tcPr>
          <w:p w14:paraId="42775CD0"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93.94%</w:t>
            </w:r>
          </w:p>
        </w:tc>
        <w:tc>
          <w:tcPr>
            <w:tcW w:w="1300" w:type="dxa"/>
            <w:tcBorders>
              <w:top w:val="nil"/>
              <w:left w:val="nil"/>
              <w:bottom w:val="nil"/>
              <w:right w:val="nil"/>
            </w:tcBorders>
            <w:shd w:val="clear" w:color="auto" w:fill="auto"/>
            <w:vAlign w:val="center"/>
            <w:hideMark/>
          </w:tcPr>
          <w:p w14:paraId="78307359"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6.06%</w:t>
            </w:r>
          </w:p>
        </w:tc>
      </w:tr>
      <w:tr w:rsidR="00351B8D" w:rsidRPr="00351B8D" w14:paraId="3927CAD2" w14:textId="77777777" w:rsidTr="00351B8D">
        <w:trPr>
          <w:trHeight w:val="320"/>
          <w:jc w:val="center"/>
        </w:trPr>
        <w:tc>
          <w:tcPr>
            <w:tcW w:w="5380" w:type="dxa"/>
            <w:tcBorders>
              <w:top w:val="nil"/>
              <w:left w:val="nil"/>
              <w:bottom w:val="nil"/>
              <w:right w:val="nil"/>
            </w:tcBorders>
            <w:shd w:val="clear" w:color="auto" w:fill="auto"/>
            <w:vAlign w:val="center"/>
            <w:hideMark/>
          </w:tcPr>
          <w:p w14:paraId="499662E7" w14:textId="77777777" w:rsidR="00351B8D" w:rsidRPr="00351B8D" w:rsidRDefault="00351B8D" w:rsidP="00351B8D">
            <w:pPr>
              <w:rPr>
                <w:rFonts w:eastAsia="Times New Roman" w:cs="Times New Roman"/>
                <w:color w:val="000000"/>
              </w:rPr>
            </w:pPr>
            <w:r w:rsidRPr="00351B8D">
              <w:rPr>
                <w:rFonts w:eastAsia="Times New Roman" w:cs="Times New Roman"/>
                <w:color w:val="000000"/>
              </w:rPr>
              <w:t>Efficiency of rehabilitation for short stay residents</w:t>
            </w:r>
          </w:p>
        </w:tc>
        <w:tc>
          <w:tcPr>
            <w:tcW w:w="1300" w:type="dxa"/>
            <w:tcBorders>
              <w:top w:val="nil"/>
              <w:left w:val="nil"/>
              <w:bottom w:val="nil"/>
              <w:right w:val="nil"/>
            </w:tcBorders>
            <w:shd w:val="clear" w:color="auto" w:fill="auto"/>
            <w:vAlign w:val="center"/>
            <w:hideMark/>
          </w:tcPr>
          <w:p w14:paraId="295D0FF6"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90.91%</w:t>
            </w:r>
          </w:p>
        </w:tc>
        <w:tc>
          <w:tcPr>
            <w:tcW w:w="1300" w:type="dxa"/>
            <w:tcBorders>
              <w:top w:val="nil"/>
              <w:left w:val="nil"/>
              <w:bottom w:val="nil"/>
              <w:right w:val="nil"/>
            </w:tcBorders>
            <w:shd w:val="clear" w:color="auto" w:fill="auto"/>
            <w:vAlign w:val="center"/>
            <w:hideMark/>
          </w:tcPr>
          <w:p w14:paraId="723A1440"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9.09%</w:t>
            </w:r>
          </w:p>
        </w:tc>
      </w:tr>
      <w:tr w:rsidR="00351B8D" w:rsidRPr="00351B8D" w14:paraId="1F7BB0B1" w14:textId="77777777" w:rsidTr="00351B8D">
        <w:trPr>
          <w:trHeight w:val="320"/>
          <w:jc w:val="center"/>
        </w:trPr>
        <w:tc>
          <w:tcPr>
            <w:tcW w:w="5380" w:type="dxa"/>
            <w:tcBorders>
              <w:top w:val="nil"/>
              <w:left w:val="nil"/>
              <w:bottom w:val="nil"/>
              <w:right w:val="nil"/>
            </w:tcBorders>
            <w:shd w:val="clear" w:color="auto" w:fill="auto"/>
            <w:vAlign w:val="center"/>
            <w:hideMark/>
          </w:tcPr>
          <w:p w14:paraId="469C9F99" w14:textId="77777777" w:rsidR="00351B8D" w:rsidRPr="00351B8D" w:rsidRDefault="00351B8D" w:rsidP="00351B8D">
            <w:pPr>
              <w:rPr>
                <w:rFonts w:eastAsia="Times New Roman" w:cs="Times New Roman"/>
                <w:color w:val="000000"/>
              </w:rPr>
            </w:pPr>
            <w:r w:rsidRPr="00351B8D">
              <w:rPr>
                <w:rFonts w:eastAsia="Times New Roman" w:cs="Times New Roman"/>
                <w:color w:val="000000"/>
              </w:rPr>
              <w:t>Improve the discharge process</w:t>
            </w:r>
          </w:p>
        </w:tc>
        <w:tc>
          <w:tcPr>
            <w:tcW w:w="1300" w:type="dxa"/>
            <w:tcBorders>
              <w:top w:val="nil"/>
              <w:left w:val="nil"/>
              <w:bottom w:val="nil"/>
              <w:right w:val="nil"/>
            </w:tcBorders>
            <w:shd w:val="clear" w:color="auto" w:fill="auto"/>
            <w:vAlign w:val="center"/>
            <w:hideMark/>
          </w:tcPr>
          <w:p w14:paraId="01A38B19"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81.82%</w:t>
            </w:r>
          </w:p>
        </w:tc>
        <w:tc>
          <w:tcPr>
            <w:tcW w:w="1300" w:type="dxa"/>
            <w:tcBorders>
              <w:top w:val="nil"/>
              <w:left w:val="nil"/>
              <w:bottom w:val="nil"/>
              <w:right w:val="nil"/>
            </w:tcBorders>
            <w:shd w:val="clear" w:color="auto" w:fill="auto"/>
            <w:vAlign w:val="center"/>
            <w:hideMark/>
          </w:tcPr>
          <w:p w14:paraId="7A1C01BD"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18.18%</w:t>
            </w:r>
          </w:p>
        </w:tc>
      </w:tr>
      <w:tr w:rsidR="00351B8D" w:rsidRPr="00351B8D" w14:paraId="7F024D68" w14:textId="77777777" w:rsidTr="00351B8D">
        <w:trPr>
          <w:trHeight w:val="340"/>
          <w:jc w:val="center"/>
        </w:trPr>
        <w:tc>
          <w:tcPr>
            <w:tcW w:w="5380" w:type="dxa"/>
            <w:tcBorders>
              <w:top w:val="nil"/>
              <w:left w:val="nil"/>
              <w:bottom w:val="single" w:sz="8" w:space="0" w:color="auto"/>
              <w:right w:val="nil"/>
            </w:tcBorders>
            <w:shd w:val="clear" w:color="auto" w:fill="auto"/>
            <w:vAlign w:val="center"/>
            <w:hideMark/>
          </w:tcPr>
          <w:p w14:paraId="67362D12" w14:textId="77777777" w:rsidR="00351B8D" w:rsidRPr="00351B8D" w:rsidRDefault="00351B8D" w:rsidP="00351B8D">
            <w:pPr>
              <w:rPr>
                <w:rFonts w:eastAsia="Times New Roman" w:cs="Times New Roman"/>
                <w:color w:val="000000"/>
              </w:rPr>
            </w:pPr>
            <w:r w:rsidRPr="00351B8D">
              <w:rPr>
                <w:rFonts w:eastAsia="Times New Roman" w:cs="Times New Roman"/>
                <w:color w:val="000000"/>
              </w:rPr>
              <w:t>Improve resident compliance with care</w:t>
            </w:r>
          </w:p>
        </w:tc>
        <w:tc>
          <w:tcPr>
            <w:tcW w:w="1300" w:type="dxa"/>
            <w:tcBorders>
              <w:top w:val="nil"/>
              <w:left w:val="nil"/>
              <w:bottom w:val="single" w:sz="8" w:space="0" w:color="auto"/>
              <w:right w:val="nil"/>
            </w:tcBorders>
            <w:shd w:val="clear" w:color="auto" w:fill="auto"/>
            <w:vAlign w:val="center"/>
            <w:hideMark/>
          </w:tcPr>
          <w:p w14:paraId="246C0347"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78.79%</w:t>
            </w:r>
          </w:p>
        </w:tc>
        <w:tc>
          <w:tcPr>
            <w:tcW w:w="1300" w:type="dxa"/>
            <w:tcBorders>
              <w:top w:val="nil"/>
              <w:left w:val="nil"/>
              <w:bottom w:val="single" w:sz="8" w:space="0" w:color="auto"/>
              <w:right w:val="nil"/>
            </w:tcBorders>
            <w:shd w:val="clear" w:color="auto" w:fill="auto"/>
            <w:vAlign w:val="center"/>
            <w:hideMark/>
          </w:tcPr>
          <w:p w14:paraId="5EC6784F" w14:textId="77777777" w:rsidR="00351B8D" w:rsidRPr="00351B8D" w:rsidRDefault="00351B8D" w:rsidP="00351B8D">
            <w:pPr>
              <w:jc w:val="center"/>
              <w:rPr>
                <w:rFonts w:eastAsia="Times New Roman" w:cs="Times New Roman"/>
                <w:color w:val="000000"/>
              </w:rPr>
            </w:pPr>
            <w:r w:rsidRPr="00351B8D">
              <w:rPr>
                <w:rFonts w:eastAsia="Times New Roman" w:cs="Times New Roman"/>
                <w:color w:val="000000"/>
              </w:rPr>
              <w:t>21.21%</w:t>
            </w:r>
          </w:p>
        </w:tc>
      </w:tr>
    </w:tbl>
    <w:p w14:paraId="160C12A8" w14:textId="77777777" w:rsidR="00351B8D" w:rsidRDefault="00351B8D" w:rsidP="000E0BF3">
      <w:pPr>
        <w:spacing w:line="480" w:lineRule="auto"/>
        <w:ind w:firstLine="720"/>
        <w:rPr>
          <w:rFonts w:cs="Times New Roman"/>
        </w:rPr>
      </w:pPr>
    </w:p>
    <w:p w14:paraId="7CEE1B8F" w14:textId="77777777" w:rsidR="000E0BF3" w:rsidRPr="000E7469" w:rsidRDefault="000E0BF3" w:rsidP="000E0BF3">
      <w:pPr>
        <w:spacing w:line="480" w:lineRule="auto"/>
        <w:ind w:firstLine="720"/>
        <w:rPr>
          <w:rFonts w:cs="Times New Roman"/>
        </w:rPr>
      </w:pPr>
      <w:r w:rsidRPr="000E7469">
        <w:rPr>
          <w:rFonts w:cs="Times New Roman"/>
        </w:rPr>
        <w:t xml:space="preserve">In summary, </w:t>
      </w:r>
      <w:r>
        <w:rPr>
          <w:rFonts w:cs="Times New Roman"/>
        </w:rPr>
        <w:t>nursing staff</w:t>
      </w:r>
      <w:r w:rsidRPr="000E7469">
        <w:rPr>
          <w:rFonts w:cs="Times New Roman"/>
        </w:rPr>
        <w:t xml:space="preserve"> indicated that (1) </w:t>
      </w:r>
      <w:r>
        <w:rPr>
          <w:rFonts w:cs="Times New Roman"/>
        </w:rPr>
        <w:t xml:space="preserve">they </w:t>
      </w:r>
      <w:r w:rsidRPr="000E7469">
        <w:rPr>
          <w:rFonts w:cs="Times New Roman"/>
        </w:rPr>
        <w:t>receive</w:t>
      </w:r>
      <w:r>
        <w:rPr>
          <w:rFonts w:cs="Times New Roman"/>
        </w:rPr>
        <w:t xml:space="preserve"> </w:t>
      </w:r>
      <w:r w:rsidRPr="000E7469">
        <w:rPr>
          <w:rFonts w:cs="Times New Roman"/>
        </w:rPr>
        <w:t xml:space="preserve">transfer summaries </w:t>
      </w:r>
      <w:r w:rsidRPr="000E7469">
        <w:rPr>
          <w:rFonts w:cs="Times New Roman"/>
          <w:i/>
        </w:rPr>
        <w:t>less</w:t>
      </w:r>
      <w:r w:rsidRPr="000E7469">
        <w:rPr>
          <w:rFonts w:cs="Times New Roman"/>
        </w:rPr>
        <w:t xml:space="preserve"> than half the time prior to admission; (2)</w:t>
      </w:r>
      <w:r>
        <w:rPr>
          <w:rFonts w:cs="Times New Roman"/>
        </w:rPr>
        <w:t xml:space="preserve"> they</w:t>
      </w:r>
      <w:r w:rsidRPr="000E7469">
        <w:rPr>
          <w:rFonts w:cs="Times New Roman"/>
        </w:rPr>
        <w:t xml:space="preserve"> generally fail to receive important cognitive, mood, and </w:t>
      </w:r>
      <w:r w:rsidRPr="000E7469">
        <w:rPr>
          <w:rFonts w:cs="Times New Roman"/>
        </w:rPr>
        <w:lastRenderedPageBreak/>
        <w:t>functional information prior</w:t>
      </w:r>
      <w:r>
        <w:rPr>
          <w:rFonts w:cs="Times New Roman"/>
        </w:rPr>
        <w:t xml:space="preserve"> to</w:t>
      </w:r>
      <w:r w:rsidRPr="000E7469">
        <w:rPr>
          <w:rFonts w:cs="Times New Roman"/>
        </w:rPr>
        <w:t xml:space="preserve">, during, or after admitting residents; and (3) receiving such information would likely enhance person-centered care, improve family caregiver education, and facilitate more effective discharges from the nursing home to community dwelling. </w:t>
      </w:r>
    </w:p>
    <w:p w14:paraId="55A42878" w14:textId="77777777" w:rsidR="000E0BF3" w:rsidRPr="00574734" w:rsidRDefault="000E0BF3" w:rsidP="000E0BF3">
      <w:pPr>
        <w:spacing w:line="480" w:lineRule="auto"/>
        <w:outlineLvl w:val="0"/>
        <w:rPr>
          <w:rFonts w:cs="Times New Roman"/>
          <w:b/>
        </w:rPr>
      </w:pPr>
      <w:r w:rsidRPr="00574734">
        <w:rPr>
          <w:rFonts w:cs="Times New Roman"/>
          <w:b/>
        </w:rPr>
        <w:t>Transfer from post-acute nursing home to community home</w:t>
      </w:r>
    </w:p>
    <w:p w14:paraId="15B1769D" w14:textId="68E95398" w:rsidR="000E0BF3" w:rsidRPr="000E7469" w:rsidRDefault="000E0BF3" w:rsidP="000E0BF3">
      <w:pPr>
        <w:spacing w:line="480" w:lineRule="auto"/>
        <w:ind w:firstLine="720"/>
        <w:rPr>
          <w:rFonts w:cs="Times New Roman"/>
        </w:rPr>
      </w:pPr>
      <w:r>
        <w:rPr>
          <w:rFonts w:cs="Times New Roman"/>
        </w:rPr>
        <w:t>Nursing staff</w:t>
      </w:r>
      <w:r w:rsidRPr="000E7469">
        <w:rPr>
          <w:rFonts w:cs="Times New Roman"/>
        </w:rPr>
        <w:t xml:space="preserve"> </w:t>
      </w:r>
      <w:r w:rsidR="009B0DDF">
        <w:rPr>
          <w:rFonts w:cs="Times New Roman"/>
        </w:rPr>
        <w:t>rated</w:t>
      </w:r>
      <w:r w:rsidRPr="000E7469">
        <w:rPr>
          <w:rFonts w:cs="Times New Roman"/>
        </w:rPr>
        <w:t xml:space="preserve"> the relative importance</w:t>
      </w:r>
      <w:r>
        <w:rPr>
          <w:rFonts w:cs="Times New Roman"/>
        </w:rPr>
        <w:t xml:space="preserve"> </w:t>
      </w:r>
      <w:r w:rsidRPr="000E7469">
        <w:rPr>
          <w:rFonts w:cs="Times New Roman"/>
        </w:rPr>
        <w:t>of post-discharge outcomes (see Appendix</w:t>
      </w:r>
      <w:r>
        <w:rPr>
          <w:rFonts w:cs="Times New Roman"/>
        </w:rPr>
        <w:t xml:space="preserve"> 1</w:t>
      </w:r>
      <w:r w:rsidRPr="000E7469">
        <w:rPr>
          <w:rFonts w:cs="Times New Roman"/>
        </w:rPr>
        <w:t xml:space="preserve">). </w:t>
      </w:r>
      <w:r>
        <w:rPr>
          <w:rFonts w:cs="Times New Roman"/>
        </w:rPr>
        <w:t>Nursing staff</w:t>
      </w:r>
      <w:r w:rsidRPr="000E7469">
        <w:rPr>
          <w:rFonts w:cs="Times New Roman"/>
        </w:rPr>
        <w:t xml:space="preserve"> rated five</w:t>
      </w:r>
      <w:r w:rsidR="009B0DDF">
        <w:rPr>
          <w:rFonts w:cs="Times New Roman"/>
        </w:rPr>
        <w:t xml:space="preserve"> resident</w:t>
      </w:r>
      <w:r w:rsidRPr="000E7469">
        <w:rPr>
          <w:rFonts w:cs="Times New Roman"/>
        </w:rPr>
        <w:t xml:space="preserve"> outcomes as the most important features of a successful discharge: (1) </w:t>
      </w:r>
      <w:r w:rsidR="009B0DDF">
        <w:rPr>
          <w:rFonts w:cs="Times New Roman"/>
        </w:rPr>
        <w:t>the receipt of</w:t>
      </w:r>
      <w:r w:rsidRPr="000E7469">
        <w:rPr>
          <w:rFonts w:cs="Times New Roman"/>
        </w:rPr>
        <w:t xml:space="preserve"> adequate supervision </w:t>
      </w:r>
      <w:r>
        <w:rPr>
          <w:rFonts w:cs="Times New Roman"/>
        </w:rPr>
        <w:t>when needed,</w:t>
      </w:r>
      <w:r w:rsidRPr="000E7469">
        <w:rPr>
          <w:rFonts w:cs="Times New Roman"/>
        </w:rPr>
        <w:t xml:space="preserve"> (2) safe</w:t>
      </w:r>
      <w:r w:rsidR="009B0DDF">
        <w:rPr>
          <w:rFonts w:cs="Times New Roman"/>
        </w:rPr>
        <w:t>ty</w:t>
      </w:r>
      <w:r w:rsidRPr="000E7469">
        <w:rPr>
          <w:rFonts w:cs="Times New Roman"/>
        </w:rPr>
        <w:t xml:space="preserve"> at home, (3) </w:t>
      </w:r>
      <w:r w:rsidR="009B0DDF">
        <w:rPr>
          <w:rFonts w:cs="Times New Roman"/>
        </w:rPr>
        <w:t>regular attendance at</w:t>
      </w:r>
      <w:r w:rsidRPr="000E7469">
        <w:rPr>
          <w:rFonts w:cs="Times New Roman"/>
        </w:rPr>
        <w:t xml:space="preserve"> doctor appointments, (4) </w:t>
      </w:r>
      <w:r>
        <w:rPr>
          <w:rFonts w:cs="Times New Roman"/>
        </w:rPr>
        <w:t>fewer</w:t>
      </w:r>
      <w:r w:rsidRPr="000E7469">
        <w:rPr>
          <w:rFonts w:cs="Times New Roman"/>
        </w:rPr>
        <w:t xml:space="preserve"> re-hospitalization</w:t>
      </w:r>
      <w:r>
        <w:rPr>
          <w:rFonts w:cs="Times New Roman"/>
        </w:rPr>
        <w:t>s</w:t>
      </w:r>
      <w:r w:rsidR="009B0DDF">
        <w:rPr>
          <w:rFonts w:cs="Times New Roman"/>
        </w:rPr>
        <w:t>, and (5) successful management of</w:t>
      </w:r>
      <w:r w:rsidRPr="000E7469">
        <w:rPr>
          <w:rFonts w:cs="Times New Roman"/>
        </w:rPr>
        <w:t xml:space="preserve"> medications. </w:t>
      </w:r>
      <w:r w:rsidR="009B0DDF">
        <w:rPr>
          <w:rFonts w:cs="Times New Roman"/>
        </w:rPr>
        <w:t xml:space="preserve">In contrast, they rated shopping alone, keeping track of current events, and handling finances as less important indicators of a successful discharge. </w:t>
      </w:r>
    </w:p>
    <w:p w14:paraId="5420118B" w14:textId="5810C36B" w:rsidR="000E0BF3" w:rsidRPr="000E7469" w:rsidRDefault="000E0BF3" w:rsidP="000E0BF3">
      <w:pPr>
        <w:spacing w:line="480" w:lineRule="auto"/>
        <w:ind w:firstLine="720"/>
        <w:rPr>
          <w:rFonts w:cs="Times New Roman"/>
        </w:rPr>
      </w:pPr>
      <w:r w:rsidRPr="000E7469">
        <w:rPr>
          <w:rFonts w:cs="Times New Roman"/>
        </w:rPr>
        <w:t>Accurate and sensitive information is</w:t>
      </w:r>
      <w:r>
        <w:rPr>
          <w:rFonts w:cs="Times New Roman"/>
        </w:rPr>
        <w:t xml:space="preserve"> essential to</w:t>
      </w:r>
      <w:r w:rsidRPr="000E7469">
        <w:rPr>
          <w:rFonts w:cs="Times New Roman"/>
        </w:rPr>
        <w:t xml:space="preserve"> successful discharge planning. To accomplish this, nursing home </w:t>
      </w:r>
      <w:proofErr w:type="gramStart"/>
      <w:r w:rsidRPr="000E7469">
        <w:rPr>
          <w:rFonts w:cs="Times New Roman"/>
        </w:rPr>
        <w:t>staff appear</w:t>
      </w:r>
      <w:proofErr w:type="gramEnd"/>
      <w:r w:rsidRPr="000E7469">
        <w:rPr>
          <w:rFonts w:cs="Times New Roman"/>
        </w:rPr>
        <w:t xml:space="preserve"> to rely on and highly value </w:t>
      </w:r>
      <w:r w:rsidR="009B0DDF">
        <w:rPr>
          <w:rFonts w:cs="Times New Roman"/>
        </w:rPr>
        <w:t>several sources</w:t>
      </w:r>
      <w:r w:rsidRPr="000E7469">
        <w:rPr>
          <w:rFonts w:cs="Times New Roman"/>
        </w:rPr>
        <w:t xml:space="preserve"> of information sources during the discharge planning process (see Table 4). </w:t>
      </w:r>
      <w:r>
        <w:rPr>
          <w:rFonts w:cs="Times New Roman"/>
        </w:rPr>
        <w:t xml:space="preserve">Discharge planners indicated that the most important sources of information are </w:t>
      </w:r>
      <w:r w:rsidRPr="000E7469">
        <w:rPr>
          <w:rFonts w:cs="Times New Roman"/>
        </w:rPr>
        <w:t>from the rehabilitation</w:t>
      </w:r>
      <w:r w:rsidR="00D2399B">
        <w:rPr>
          <w:rFonts w:cs="Times New Roman"/>
        </w:rPr>
        <w:t xml:space="preserve"> and nursing</w:t>
      </w:r>
      <w:r w:rsidRPr="000E7469">
        <w:rPr>
          <w:rFonts w:cs="Times New Roman"/>
        </w:rPr>
        <w:t xml:space="preserve"> team</w:t>
      </w:r>
      <w:r w:rsidR="00D2399B">
        <w:rPr>
          <w:rFonts w:cs="Times New Roman"/>
        </w:rPr>
        <w:t>s</w:t>
      </w:r>
      <w:r w:rsidRPr="000E7469">
        <w:rPr>
          <w:rFonts w:cs="Times New Roman"/>
        </w:rPr>
        <w:t xml:space="preserve">, resident, families and other caregivers. </w:t>
      </w:r>
    </w:p>
    <w:p w14:paraId="6D4DD749" w14:textId="77777777" w:rsidR="000E0BF3" w:rsidRPr="000E7469" w:rsidRDefault="000E0BF3" w:rsidP="000E0BF3">
      <w:pPr>
        <w:spacing w:line="480" w:lineRule="auto"/>
        <w:ind w:left="720"/>
        <w:rPr>
          <w:rFonts w:cs="Times New Roman"/>
          <w:i/>
        </w:rPr>
      </w:pPr>
      <w:r w:rsidRPr="000E7469">
        <w:rPr>
          <w:rFonts w:cs="Times New Roman"/>
          <w:i/>
        </w:rPr>
        <w:t>Table 4. Relative importance of various information sources for discharge planning</w:t>
      </w:r>
    </w:p>
    <w:tbl>
      <w:tblPr>
        <w:tblW w:w="8287" w:type="dxa"/>
        <w:jc w:val="center"/>
        <w:tblLook w:val="04A0" w:firstRow="1" w:lastRow="0" w:firstColumn="1" w:lastColumn="0" w:noHBand="0" w:noVBand="1"/>
      </w:tblPr>
      <w:tblGrid>
        <w:gridCol w:w="2965"/>
        <w:gridCol w:w="1355"/>
        <w:gridCol w:w="1299"/>
        <w:gridCol w:w="1230"/>
        <w:gridCol w:w="1438"/>
      </w:tblGrid>
      <w:tr w:rsidR="00D2399B" w:rsidRPr="00D2399B" w14:paraId="47A74AC4" w14:textId="77777777" w:rsidTr="00D2399B">
        <w:trPr>
          <w:trHeight w:val="340"/>
          <w:jc w:val="center"/>
        </w:trPr>
        <w:tc>
          <w:tcPr>
            <w:tcW w:w="2965" w:type="dxa"/>
            <w:tcBorders>
              <w:top w:val="single" w:sz="8" w:space="0" w:color="auto"/>
              <w:left w:val="nil"/>
              <w:bottom w:val="single" w:sz="8" w:space="0" w:color="auto"/>
              <w:right w:val="nil"/>
            </w:tcBorders>
            <w:shd w:val="clear" w:color="auto" w:fill="auto"/>
            <w:vAlign w:val="center"/>
            <w:hideMark/>
          </w:tcPr>
          <w:p w14:paraId="4900FDA4"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 </w:t>
            </w:r>
          </w:p>
        </w:tc>
        <w:tc>
          <w:tcPr>
            <w:tcW w:w="1355" w:type="dxa"/>
            <w:tcBorders>
              <w:top w:val="single" w:sz="8" w:space="0" w:color="auto"/>
              <w:left w:val="nil"/>
              <w:bottom w:val="single" w:sz="8" w:space="0" w:color="auto"/>
              <w:right w:val="nil"/>
            </w:tcBorders>
            <w:shd w:val="clear" w:color="auto" w:fill="auto"/>
            <w:vAlign w:val="center"/>
            <w:hideMark/>
          </w:tcPr>
          <w:p w14:paraId="460F5A03"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Very important</w:t>
            </w:r>
          </w:p>
        </w:tc>
        <w:tc>
          <w:tcPr>
            <w:tcW w:w="1299" w:type="dxa"/>
            <w:tcBorders>
              <w:top w:val="single" w:sz="8" w:space="0" w:color="auto"/>
              <w:left w:val="nil"/>
              <w:bottom w:val="single" w:sz="8" w:space="0" w:color="auto"/>
              <w:right w:val="nil"/>
            </w:tcBorders>
            <w:shd w:val="clear" w:color="auto" w:fill="auto"/>
            <w:vAlign w:val="center"/>
            <w:hideMark/>
          </w:tcPr>
          <w:p w14:paraId="55FD1256"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Important</w:t>
            </w:r>
          </w:p>
        </w:tc>
        <w:tc>
          <w:tcPr>
            <w:tcW w:w="1230" w:type="dxa"/>
            <w:tcBorders>
              <w:top w:val="single" w:sz="8" w:space="0" w:color="auto"/>
              <w:left w:val="nil"/>
              <w:bottom w:val="single" w:sz="8" w:space="0" w:color="auto"/>
              <w:right w:val="nil"/>
            </w:tcBorders>
            <w:shd w:val="clear" w:color="auto" w:fill="auto"/>
            <w:vAlign w:val="center"/>
            <w:hideMark/>
          </w:tcPr>
          <w:p w14:paraId="68B540A3"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Somewhat important</w:t>
            </w:r>
          </w:p>
        </w:tc>
        <w:tc>
          <w:tcPr>
            <w:tcW w:w="1438" w:type="dxa"/>
            <w:tcBorders>
              <w:top w:val="single" w:sz="8" w:space="0" w:color="auto"/>
              <w:left w:val="nil"/>
              <w:bottom w:val="single" w:sz="8" w:space="0" w:color="auto"/>
              <w:right w:val="nil"/>
            </w:tcBorders>
            <w:shd w:val="clear" w:color="auto" w:fill="auto"/>
            <w:vAlign w:val="center"/>
            <w:hideMark/>
          </w:tcPr>
          <w:p w14:paraId="0C7D8D6D"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Not Important</w:t>
            </w:r>
          </w:p>
        </w:tc>
      </w:tr>
      <w:tr w:rsidR="00D2399B" w:rsidRPr="00D2399B" w14:paraId="516A4E39" w14:textId="77777777" w:rsidTr="00D2399B">
        <w:trPr>
          <w:trHeight w:val="320"/>
          <w:jc w:val="center"/>
        </w:trPr>
        <w:tc>
          <w:tcPr>
            <w:tcW w:w="2965" w:type="dxa"/>
            <w:tcBorders>
              <w:top w:val="nil"/>
              <w:left w:val="nil"/>
              <w:bottom w:val="nil"/>
              <w:right w:val="nil"/>
            </w:tcBorders>
            <w:shd w:val="clear" w:color="auto" w:fill="auto"/>
            <w:vAlign w:val="center"/>
            <w:hideMark/>
          </w:tcPr>
          <w:p w14:paraId="77EC1592"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Rehabilitation team</w:t>
            </w:r>
          </w:p>
        </w:tc>
        <w:tc>
          <w:tcPr>
            <w:tcW w:w="1355" w:type="dxa"/>
            <w:tcBorders>
              <w:top w:val="nil"/>
              <w:left w:val="nil"/>
              <w:bottom w:val="nil"/>
              <w:right w:val="nil"/>
            </w:tcBorders>
            <w:shd w:val="clear" w:color="auto" w:fill="auto"/>
            <w:vAlign w:val="center"/>
            <w:hideMark/>
          </w:tcPr>
          <w:p w14:paraId="3704701C"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89.29%</w:t>
            </w:r>
          </w:p>
        </w:tc>
        <w:tc>
          <w:tcPr>
            <w:tcW w:w="1299" w:type="dxa"/>
            <w:tcBorders>
              <w:top w:val="nil"/>
              <w:left w:val="nil"/>
              <w:bottom w:val="nil"/>
              <w:right w:val="nil"/>
            </w:tcBorders>
            <w:shd w:val="clear" w:color="auto" w:fill="auto"/>
            <w:vAlign w:val="center"/>
            <w:hideMark/>
          </w:tcPr>
          <w:p w14:paraId="404DB591"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7.14%</w:t>
            </w:r>
          </w:p>
        </w:tc>
        <w:tc>
          <w:tcPr>
            <w:tcW w:w="1230" w:type="dxa"/>
            <w:tcBorders>
              <w:top w:val="nil"/>
              <w:left w:val="nil"/>
              <w:bottom w:val="nil"/>
              <w:right w:val="nil"/>
            </w:tcBorders>
            <w:shd w:val="clear" w:color="auto" w:fill="auto"/>
            <w:vAlign w:val="center"/>
            <w:hideMark/>
          </w:tcPr>
          <w:p w14:paraId="003B5BE3"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w:t>
            </w:r>
          </w:p>
        </w:tc>
        <w:tc>
          <w:tcPr>
            <w:tcW w:w="1438" w:type="dxa"/>
            <w:tcBorders>
              <w:top w:val="nil"/>
              <w:left w:val="nil"/>
              <w:bottom w:val="nil"/>
              <w:right w:val="nil"/>
            </w:tcBorders>
            <w:shd w:val="clear" w:color="auto" w:fill="auto"/>
            <w:vAlign w:val="center"/>
            <w:hideMark/>
          </w:tcPr>
          <w:p w14:paraId="0040CFA3"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r>
      <w:tr w:rsidR="00D2399B" w:rsidRPr="00D2399B" w14:paraId="0B12680C" w14:textId="77777777" w:rsidTr="00D2399B">
        <w:trPr>
          <w:trHeight w:val="320"/>
          <w:jc w:val="center"/>
        </w:trPr>
        <w:tc>
          <w:tcPr>
            <w:tcW w:w="2965" w:type="dxa"/>
            <w:tcBorders>
              <w:top w:val="nil"/>
              <w:left w:val="nil"/>
              <w:bottom w:val="nil"/>
              <w:right w:val="nil"/>
            </w:tcBorders>
            <w:shd w:val="clear" w:color="auto" w:fill="auto"/>
            <w:vAlign w:val="center"/>
            <w:hideMark/>
          </w:tcPr>
          <w:p w14:paraId="7647B6C9"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Resident</w:t>
            </w:r>
          </w:p>
        </w:tc>
        <w:tc>
          <w:tcPr>
            <w:tcW w:w="1355" w:type="dxa"/>
            <w:tcBorders>
              <w:top w:val="nil"/>
              <w:left w:val="nil"/>
              <w:bottom w:val="nil"/>
              <w:right w:val="nil"/>
            </w:tcBorders>
            <w:shd w:val="clear" w:color="auto" w:fill="auto"/>
            <w:vAlign w:val="center"/>
            <w:hideMark/>
          </w:tcPr>
          <w:p w14:paraId="383C2C4A"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85.71%</w:t>
            </w:r>
          </w:p>
        </w:tc>
        <w:tc>
          <w:tcPr>
            <w:tcW w:w="1299" w:type="dxa"/>
            <w:tcBorders>
              <w:top w:val="nil"/>
              <w:left w:val="nil"/>
              <w:bottom w:val="nil"/>
              <w:right w:val="nil"/>
            </w:tcBorders>
            <w:shd w:val="clear" w:color="auto" w:fill="auto"/>
            <w:vAlign w:val="center"/>
            <w:hideMark/>
          </w:tcPr>
          <w:p w14:paraId="777BE2AE"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10.71%</w:t>
            </w:r>
          </w:p>
        </w:tc>
        <w:tc>
          <w:tcPr>
            <w:tcW w:w="1230" w:type="dxa"/>
            <w:tcBorders>
              <w:top w:val="nil"/>
              <w:left w:val="nil"/>
              <w:bottom w:val="nil"/>
              <w:right w:val="nil"/>
            </w:tcBorders>
            <w:shd w:val="clear" w:color="auto" w:fill="auto"/>
            <w:vAlign w:val="center"/>
            <w:hideMark/>
          </w:tcPr>
          <w:p w14:paraId="66B41835"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w:t>
            </w:r>
          </w:p>
        </w:tc>
        <w:tc>
          <w:tcPr>
            <w:tcW w:w="1438" w:type="dxa"/>
            <w:tcBorders>
              <w:top w:val="nil"/>
              <w:left w:val="nil"/>
              <w:bottom w:val="nil"/>
              <w:right w:val="nil"/>
            </w:tcBorders>
            <w:shd w:val="clear" w:color="auto" w:fill="auto"/>
            <w:vAlign w:val="center"/>
            <w:hideMark/>
          </w:tcPr>
          <w:p w14:paraId="261191C8"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r>
      <w:tr w:rsidR="00D2399B" w:rsidRPr="00D2399B" w14:paraId="2B1B3C33" w14:textId="77777777" w:rsidTr="00D2399B">
        <w:trPr>
          <w:trHeight w:val="320"/>
          <w:jc w:val="center"/>
        </w:trPr>
        <w:tc>
          <w:tcPr>
            <w:tcW w:w="2965" w:type="dxa"/>
            <w:tcBorders>
              <w:top w:val="nil"/>
              <w:left w:val="nil"/>
              <w:bottom w:val="nil"/>
              <w:right w:val="nil"/>
            </w:tcBorders>
            <w:shd w:val="clear" w:color="auto" w:fill="auto"/>
            <w:vAlign w:val="center"/>
            <w:hideMark/>
          </w:tcPr>
          <w:p w14:paraId="5C2E4549"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Resident's family</w:t>
            </w:r>
          </w:p>
        </w:tc>
        <w:tc>
          <w:tcPr>
            <w:tcW w:w="1355" w:type="dxa"/>
            <w:tcBorders>
              <w:top w:val="nil"/>
              <w:left w:val="nil"/>
              <w:bottom w:val="nil"/>
              <w:right w:val="nil"/>
            </w:tcBorders>
            <w:shd w:val="clear" w:color="auto" w:fill="auto"/>
            <w:vAlign w:val="center"/>
            <w:hideMark/>
          </w:tcPr>
          <w:p w14:paraId="7624F2CF"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82.14%</w:t>
            </w:r>
          </w:p>
        </w:tc>
        <w:tc>
          <w:tcPr>
            <w:tcW w:w="1299" w:type="dxa"/>
            <w:tcBorders>
              <w:top w:val="nil"/>
              <w:left w:val="nil"/>
              <w:bottom w:val="nil"/>
              <w:right w:val="nil"/>
            </w:tcBorders>
            <w:shd w:val="clear" w:color="auto" w:fill="auto"/>
            <w:vAlign w:val="center"/>
            <w:hideMark/>
          </w:tcPr>
          <w:p w14:paraId="0283E19E"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14.29%</w:t>
            </w:r>
          </w:p>
        </w:tc>
        <w:tc>
          <w:tcPr>
            <w:tcW w:w="1230" w:type="dxa"/>
            <w:tcBorders>
              <w:top w:val="nil"/>
              <w:left w:val="nil"/>
              <w:bottom w:val="nil"/>
              <w:right w:val="nil"/>
            </w:tcBorders>
            <w:shd w:val="clear" w:color="auto" w:fill="auto"/>
            <w:vAlign w:val="center"/>
            <w:hideMark/>
          </w:tcPr>
          <w:p w14:paraId="18732BF7"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w:t>
            </w:r>
          </w:p>
        </w:tc>
        <w:tc>
          <w:tcPr>
            <w:tcW w:w="1438" w:type="dxa"/>
            <w:tcBorders>
              <w:top w:val="nil"/>
              <w:left w:val="nil"/>
              <w:bottom w:val="nil"/>
              <w:right w:val="nil"/>
            </w:tcBorders>
            <w:shd w:val="clear" w:color="auto" w:fill="auto"/>
            <w:vAlign w:val="center"/>
            <w:hideMark/>
          </w:tcPr>
          <w:p w14:paraId="156A53BD"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r>
      <w:tr w:rsidR="00D2399B" w:rsidRPr="00D2399B" w14:paraId="70A0BFC8" w14:textId="77777777" w:rsidTr="00D2399B">
        <w:trPr>
          <w:trHeight w:val="320"/>
          <w:jc w:val="center"/>
        </w:trPr>
        <w:tc>
          <w:tcPr>
            <w:tcW w:w="2965" w:type="dxa"/>
            <w:tcBorders>
              <w:top w:val="nil"/>
              <w:left w:val="nil"/>
              <w:bottom w:val="nil"/>
              <w:right w:val="nil"/>
            </w:tcBorders>
            <w:shd w:val="clear" w:color="auto" w:fill="auto"/>
            <w:vAlign w:val="center"/>
            <w:hideMark/>
          </w:tcPr>
          <w:p w14:paraId="4EE12F64"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Nursing team</w:t>
            </w:r>
          </w:p>
        </w:tc>
        <w:tc>
          <w:tcPr>
            <w:tcW w:w="1355" w:type="dxa"/>
            <w:tcBorders>
              <w:top w:val="nil"/>
              <w:left w:val="nil"/>
              <w:bottom w:val="nil"/>
              <w:right w:val="nil"/>
            </w:tcBorders>
            <w:shd w:val="clear" w:color="auto" w:fill="auto"/>
            <w:vAlign w:val="center"/>
            <w:hideMark/>
          </w:tcPr>
          <w:p w14:paraId="2FE3F861"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82.14%</w:t>
            </w:r>
          </w:p>
        </w:tc>
        <w:tc>
          <w:tcPr>
            <w:tcW w:w="1299" w:type="dxa"/>
            <w:tcBorders>
              <w:top w:val="nil"/>
              <w:left w:val="nil"/>
              <w:bottom w:val="nil"/>
              <w:right w:val="nil"/>
            </w:tcBorders>
            <w:shd w:val="clear" w:color="auto" w:fill="auto"/>
            <w:vAlign w:val="center"/>
            <w:hideMark/>
          </w:tcPr>
          <w:p w14:paraId="57BC6E0A"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14.29%</w:t>
            </w:r>
          </w:p>
        </w:tc>
        <w:tc>
          <w:tcPr>
            <w:tcW w:w="1230" w:type="dxa"/>
            <w:tcBorders>
              <w:top w:val="nil"/>
              <w:left w:val="nil"/>
              <w:bottom w:val="nil"/>
              <w:right w:val="nil"/>
            </w:tcBorders>
            <w:shd w:val="clear" w:color="auto" w:fill="auto"/>
            <w:vAlign w:val="center"/>
            <w:hideMark/>
          </w:tcPr>
          <w:p w14:paraId="72D65670"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w:t>
            </w:r>
          </w:p>
        </w:tc>
        <w:tc>
          <w:tcPr>
            <w:tcW w:w="1438" w:type="dxa"/>
            <w:tcBorders>
              <w:top w:val="nil"/>
              <w:left w:val="nil"/>
              <w:bottom w:val="nil"/>
              <w:right w:val="nil"/>
            </w:tcBorders>
            <w:shd w:val="clear" w:color="auto" w:fill="auto"/>
            <w:vAlign w:val="center"/>
            <w:hideMark/>
          </w:tcPr>
          <w:p w14:paraId="23BEFA9B"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r>
      <w:tr w:rsidR="00D2399B" w:rsidRPr="00D2399B" w14:paraId="00949566" w14:textId="77777777" w:rsidTr="00D2399B">
        <w:trPr>
          <w:trHeight w:val="320"/>
          <w:jc w:val="center"/>
        </w:trPr>
        <w:tc>
          <w:tcPr>
            <w:tcW w:w="2965" w:type="dxa"/>
            <w:tcBorders>
              <w:top w:val="nil"/>
              <w:left w:val="nil"/>
              <w:bottom w:val="nil"/>
              <w:right w:val="nil"/>
            </w:tcBorders>
            <w:shd w:val="clear" w:color="auto" w:fill="auto"/>
            <w:vAlign w:val="center"/>
            <w:hideMark/>
          </w:tcPr>
          <w:p w14:paraId="61EA53B1"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Caregivers</w:t>
            </w:r>
          </w:p>
        </w:tc>
        <w:tc>
          <w:tcPr>
            <w:tcW w:w="1355" w:type="dxa"/>
            <w:tcBorders>
              <w:top w:val="nil"/>
              <w:left w:val="nil"/>
              <w:bottom w:val="nil"/>
              <w:right w:val="nil"/>
            </w:tcBorders>
            <w:shd w:val="clear" w:color="auto" w:fill="auto"/>
            <w:vAlign w:val="center"/>
            <w:hideMark/>
          </w:tcPr>
          <w:p w14:paraId="759986D6"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82.14%</w:t>
            </w:r>
          </w:p>
        </w:tc>
        <w:tc>
          <w:tcPr>
            <w:tcW w:w="1299" w:type="dxa"/>
            <w:tcBorders>
              <w:top w:val="nil"/>
              <w:left w:val="nil"/>
              <w:bottom w:val="nil"/>
              <w:right w:val="nil"/>
            </w:tcBorders>
            <w:shd w:val="clear" w:color="auto" w:fill="auto"/>
            <w:vAlign w:val="center"/>
            <w:hideMark/>
          </w:tcPr>
          <w:p w14:paraId="1DD6C245"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14.29%</w:t>
            </w:r>
          </w:p>
        </w:tc>
        <w:tc>
          <w:tcPr>
            <w:tcW w:w="1230" w:type="dxa"/>
            <w:tcBorders>
              <w:top w:val="nil"/>
              <w:left w:val="nil"/>
              <w:bottom w:val="nil"/>
              <w:right w:val="nil"/>
            </w:tcBorders>
            <w:shd w:val="clear" w:color="auto" w:fill="auto"/>
            <w:vAlign w:val="center"/>
            <w:hideMark/>
          </w:tcPr>
          <w:p w14:paraId="52E794BA"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w:t>
            </w:r>
          </w:p>
        </w:tc>
        <w:tc>
          <w:tcPr>
            <w:tcW w:w="1438" w:type="dxa"/>
            <w:tcBorders>
              <w:top w:val="nil"/>
              <w:left w:val="nil"/>
              <w:bottom w:val="nil"/>
              <w:right w:val="nil"/>
            </w:tcBorders>
            <w:shd w:val="clear" w:color="auto" w:fill="auto"/>
            <w:vAlign w:val="center"/>
            <w:hideMark/>
          </w:tcPr>
          <w:p w14:paraId="19417E3C"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r>
      <w:tr w:rsidR="00D2399B" w:rsidRPr="00D2399B" w14:paraId="4811A516" w14:textId="77777777" w:rsidTr="00D2399B">
        <w:trPr>
          <w:trHeight w:val="320"/>
          <w:jc w:val="center"/>
        </w:trPr>
        <w:tc>
          <w:tcPr>
            <w:tcW w:w="2965" w:type="dxa"/>
            <w:tcBorders>
              <w:top w:val="nil"/>
              <w:left w:val="nil"/>
              <w:bottom w:val="nil"/>
              <w:right w:val="nil"/>
            </w:tcBorders>
            <w:shd w:val="clear" w:color="auto" w:fill="auto"/>
            <w:vAlign w:val="center"/>
            <w:hideMark/>
          </w:tcPr>
          <w:p w14:paraId="5F34161C"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Discharge planner</w:t>
            </w:r>
          </w:p>
        </w:tc>
        <w:tc>
          <w:tcPr>
            <w:tcW w:w="1355" w:type="dxa"/>
            <w:tcBorders>
              <w:top w:val="nil"/>
              <w:left w:val="nil"/>
              <w:bottom w:val="nil"/>
              <w:right w:val="nil"/>
            </w:tcBorders>
            <w:shd w:val="clear" w:color="auto" w:fill="auto"/>
            <w:vAlign w:val="center"/>
            <w:hideMark/>
          </w:tcPr>
          <w:p w14:paraId="6C4128E1"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78.57%</w:t>
            </w:r>
          </w:p>
        </w:tc>
        <w:tc>
          <w:tcPr>
            <w:tcW w:w="1299" w:type="dxa"/>
            <w:tcBorders>
              <w:top w:val="nil"/>
              <w:left w:val="nil"/>
              <w:bottom w:val="nil"/>
              <w:right w:val="nil"/>
            </w:tcBorders>
            <w:shd w:val="clear" w:color="auto" w:fill="auto"/>
            <w:vAlign w:val="center"/>
            <w:hideMark/>
          </w:tcPr>
          <w:p w14:paraId="1ACA3CF2"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10.71%</w:t>
            </w:r>
          </w:p>
        </w:tc>
        <w:tc>
          <w:tcPr>
            <w:tcW w:w="1230" w:type="dxa"/>
            <w:tcBorders>
              <w:top w:val="nil"/>
              <w:left w:val="nil"/>
              <w:bottom w:val="nil"/>
              <w:right w:val="nil"/>
            </w:tcBorders>
            <w:shd w:val="clear" w:color="auto" w:fill="auto"/>
            <w:vAlign w:val="center"/>
            <w:hideMark/>
          </w:tcPr>
          <w:p w14:paraId="5B90D778"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c>
          <w:tcPr>
            <w:tcW w:w="1438" w:type="dxa"/>
            <w:tcBorders>
              <w:top w:val="nil"/>
              <w:left w:val="nil"/>
              <w:bottom w:val="nil"/>
              <w:right w:val="nil"/>
            </w:tcBorders>
            <w:shd w:val="clear" w:color="auto" w:fill="auto"/>
            <w:vAlign w:val="center"/>
            <w:hideMark/>
          </w:tcPr>
          <w:p w14:paraId="5EA70257"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7.14%</w:t>
            </w:r>
          </w:p>
        </w:tc>
      </w:tr>
      <w:tr w:rsidR="00D2399B" w:rsidRPr="00D2399B" w14:paraId="33F97801" w14:textId="77777777" w:rsidTr="00D2399B">
        <w:trPr>
          <w:trHeight w:val="320"/>
          <w:jc w:val="center"/>
        </w:trPr>
        <w:tc>
          <w:tcPr>
            <w:tcW w:w="2965" w:type="dxa"/>
            <w:tcBorders>
              <w:top w:val="nil"/>
              <w:left w:val="nil"/>
              <w:bottom w:val="nil"/>
              <w:right w:val="nil"/>
            </w:tcBorders>
            <w:shd w:val="clear" w:color="auto" w:fill="auto"/>
            <w:vAlign w:val="center"/>
            <w:hideMark/>
          </w:tcPr>
          <w:p w14:paraId="67F722E4"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Attending physician</w:t>
            </w:r>
          </w:p>
        </w:tc>
        <w:tc>
          <w:tcPr>
            <w:tcW w:w="1355" w:type="dxa"/>
            <w:tcBorders>
              <w:top w:val="nil"/>
              <w:left w:val="nil"/>
              <w:bottom w:val="nil"/>
              <w:right w:val="nil"/>
            </w:tcBorders>
            <w:shd w:val="clear" w:color="auto" w:fill="auto"/>
            <w:vAlign w:val="center"/>
            <w:hideMark/>
          </w:tcPr>
          <w:p w14:paraId="0F02863C"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75.00%</w:t>
            </w:r>
          </w:p>
        </w:tc>
        <w:tc>
          <w:tcPr>
            <w:tcW w:w="1299" w:type="dxa"/>
            <w:tcBorders>
              <w:top w:val="nil"/>
              <w:left w:val="nil"/>
              <w:bottom w:val="nil"/>
              <w:right w:val="nil"/>
            </w:tcBorders>
            <w:shd w:val="clear" w:color="auto" w:fill="auto"/>
            <w:vAlign w:val="center"/>
            <w:hideMark/>
          </w:tcPr>
          <w:p w14:paraId="6EE45382"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14.29%</w:t>
            </w:r>
          </w:p>
        </w:tc>
        <w:tc>
          <w:tcPr>
            <w:tcW w:w="1230" w:type="dxa"/>
            <w:tcBorders>
              <w:top w:val="nil"/>
              <w:left w:val="nil"/>
              <w:bottom w:val="nil"/>
              <w:right w:val="nil"/>
            </w:tcBorders>
            <w:shd w:val="clear" w:color="auto" w:fill="auto"/>
            <w:vAlign w:val="center"/>
            <w:hideMark/>
          </w:tcPr>
          <w:p w14:paraId="48648668"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c>
          <w:tcPr>
            <w:tcW w:w="1438" w:type="dxa"/>
            <w:tcBorders>
              <w:top w:val="nil"/>
              <w:left w:val="nil"/>
              <w:bottom w:val="nil"/>
              <w:right w:val="nil"/>
            </w:tcBorders>
            <w:shd w:val="clear" w:color="auto" w:fill="auto"/>
            <w:vAlign w:val="center"/>
            <w:hideMark/>
          </w:tcPr>
          <w:p w14:paraId="53851813"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7.14%</w:t>
            </w:r>
          </w:p>
        </w:tc>
      </w:tr>
      <w:tr w:rsidR="00D2399B" w:rsidRPr="00D2399B" w14:paraId="5BF7B023" w14:textId="77777777" w:rsidTr="00D2399B">
        <w:trPr>
          <w:trHeight w:val="320"/>
          <w:jc w:val="center"/>
        </w:trPr>
        <w:tc>
          <w:tcPr>
            <w:tcW w:w="2965" w:type="dxa"/>
            <w:tcBorders>
              <w:top w:val="nil"/>
              <w:left w:val="nil"/>
              <w:bottom w:val="nil"/>
              <w:right w:val="nil"/>
            </w:tcBorders>
            <w:shd w:val="clear" w:color="auto" w:fill="auto"/>
            <w:vAlign w:val="center"/>
            <w:hideMark/>
          </w:tcPr>
          <w:p w14:paraId="047D95CF"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Chart</w:t>
            </w:r>
          </w:p>
        </w:tc>
        <w:tc>
          <w:tcPr>
            <w:tcW w:w="1355" w:type="dxa"/>
            <w:tcBorders>
              <w:top w:val="nil"/>
              <w:left w:val="nil"/>
              <w:bottom w:val="nil"/>
              <w:right w:val="nil"/>
            </w:tcBorders>
            <w:shd w:val="clear" w:color="auto" w:fill="auto"/>
            <w:vAlign w:val="center"/>
            <w:hideMark/>
          </w:tcPr>
          <w:p w14:paraId="60E8D8B3"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67.86%</w:t>
            </w:r>
          </w:p>
        </w:tc>
        <w:tc>
          <w:tcPr>
            <w:tcW w:w="1299" w:type="dxa"/>
            <w:tcBorders>
              <w:top w:val="nil"/>
              <w:left w:val="nil"/>
              <w:bottom w:val="nil"/>
              <w:right w:val="nil"/>
            </w:tcBorders>
            <w:shd w:val="clear" w:color="auto" w:fill="auto"/>
            <w:vAlign w:val="center"/>
            <w:hideMark/>
          </w:tcPr>
          <w:p w14:paraId="5FCE3533"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21.43%</w:t>
            </w:r>
          </w:p>
        </w:tc>
        <w:tc>
          <w:tcPr>
            <w:tcW w:w="1230" w:type="dxa"/>
            <w:tcBorders>
              <w:top w:val="nil"/>
              <w:left w:val="nil"/>
              <w:bottom w:val="nil"/>
              <w:right w:val="nil"/>
            </w:tcBorders>
            <w:shd w:val="clear" w:color="auto" w:fill="auto"/>
            <w:vAlign w:val="center"/>
            <w:hideMark/>
          </w:tcPr>
          <w:p w14:paraId="04DBCE22"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7.14%</w:t>
            </w:r>
          </w:p>
        </w:tc>
        <w:tc>
          <w:tcPr>
            <w:tcW w:w="1438" w:type="dxa"/>
            <w:tcBorders>
              <w:top w:val="nil"/>
              <w:left w:val="nil"/>
              <w:bottom w:val="nil"/>
              <w:right w:val="nil"/>
            </w:tcBorders>
            <w:shd w:val="clear" w:color="auto" w:fill="auto"/>
            <w:vAlign w:val="center"/>
            <w:hideMark/>
          </w:tcPr>
          <w:p w14:paraId="7F7F9157"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3.57%</w:t>
            </w:r>
          </w:p>
        </w:tc>
      </w:tr>
      <w:tr w:rsidR="00D2399B" w:rsidRPr="00D2399B" w14:paraId="1FACCA87" w14:textId="77777777" w:rsidTr="00D2399B">
        <w:trPr>
          <w:trHeight w:val="340"/>
          <w:jc w:val="center"/>
        </w:trPr>
        <w:tc>
          <w:tcPr>
            <w:tcW w:w="2965" w:type="dxa"/>
            <w:tcBorders>
              <w:top w:val="nil"/>
              <w:left w:val="nil"/>
              <w:bottom w:val="single" w:sz="8" w:space="0" w:color="auto"/>
              <w:right w:val="nil"/>
            </w:tcBorders>
            <w:shd w:val="clear" w:color="auto" w:fill="auto"/>
            <w:vAlign w:val="center"/>
            <w:hideMark/>
          </w:tcPr>
          <w:p w14:paraId="482D2088" w14:textId="77777777" w:rsidR="00D2399B" w:rsidRPr="00D2399B" w:rsidRDefault="00D2399B" w:rsidP="00D2399B">
            <w:pPr>
              <w:rPr>
                <w:rFonts w:eastAsia="Times New Roman" w:cs="Times New Roman"/>
                <w:color w:val="000000"/>
              </w:rPr>
            </w:pPr>
            <w:r w:rsidRPr="00D2399B">
              <w:rPr>
                <w:rFonts w:eastAsia="Times New Roman" w:cs="Times New Roman"/>
                <w:color w:val="000000"/>
              </w:rPr>
              <w:t>Behavioral health specialists</w:t>
            </w:r>
          </w:p>
        </w:tc>
        <w:tc>
          <w:tcPr>
            <w:tcW w:w="1355" w:type="dxa"/>
            <w:tcBorders>
              <w:top w:val="nil"/>
              <w:left w:val="nil"/>
              <w:bottom w:val="single" w:sz="8" w:space="0" w:color="auto"/>
              <w:right w:val="nil"/>
            </w:tcBorders>
            <w:shd w:val="clear" w:color="auto" w:fill="auto"/>
            <w:vAlign w:val="center"/>
            <w:hideMark/>
          </w:tcPr>
          <w:p w14:paraId="0645D7E1"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67.86%</w:t>
            </w:r>
          </w:p>
        </w:tc>
        <w:tc>
          <w:tcPr>
            <w:tcW w:w="1299" w:type="dxa"/>
            <w:tcBorders>
              <w:top w:val="nil"/>
              <w:left w:val="nil"/>
              <w:bottom w:val="single" w:sz="8" w:space="0" w:color="auto"/>
              <w:right w:val="nil"/>
            </w:tcBorders>
            <w:shd w:val="clear" w:color="auto" w:fill="auto"/>
            <w:vAlign w:val="center"/>
            <w:hideMark/>
          </w:tcPr>
          <w:p w14:paraId="40777761"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14.29%</w:t>
            </w:r>
          </w:p>
        </w:tc>
        <w:tc>
          <w:tcPr>
            <w:tcW w:w="1230" w:type="dxa"/>
            <w:tcBorders>
              <w:top w:val="nil"/>
              <w:left w:val="nil"/>
              <w:bottom w:val="single" w:sz="8" w:space="0" w:color="auto"/>
              <w:right w:val="nil"/>
            </w:tcBorders>
            <w:shd w:val="clear" w:color="auto" w:fill="auto"/>
            <w:vAlign w:val="center"/>
            <w:hideMark/>
          </w:tcPr>
          <w:p w14:paraId="422B9742"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10.71%</w:t>
            </w:r>
          </w:p>
        </w:tc>
        <w:tc>
          <w:tcPr>
            <w:tcW w:w="1438" w:type="dxa"/>
            <w:tcBorders>
              <w:top w:val="nil"/>
              <w:left w:val="nil"/>
              <w:bottom w:val="single" w:sz="8" w:space="0" w:color="auto"/>
              <w:right w:val="nil"/>
            </w:tcBorders>
            <w:shd w:val="clear" w:color="auto" w:fill="auto"/>
            <w:vAlign w:val="center"/>
            <w:hideMark/>
          </w:tcPr>
          <w:p w14:paraId="1D56A2B5" w14:textId="77777777" w:rsidR="00D2399B" w:rsidRPr="00D2399B" w:rsidRDefault="00D2399B" w:rsidP="00D2399B">
            <w:pPr>
              <w:jc w:val="center"/>
              <w:rPr>
                <w:rFonts w:eastAsia="Times New Roman" w:cs="Times New Roman"/>
                <w:color w:val="000000"/>
              </w:rPr>
            </w:pPr>
            <w:r w:rsidRPr="00D2399B">
              <w:rPr>
                <w:rFonts w:eastAsia="Times New Roman" w:cs="Times New Roman"/>
                <w:color w:val="000000"/>
              </w:rPr>
              <w:t>7.14%</w:t>
            </w:r>
          </w:p>
        </w:tc>
      </w:tr>
    </w:tbl>
    <w:p w14:paraId="0C24FCF8" w14:textId="77777777" w:rsidR="00D2399B" w:rsidRDefault="00D2399B" w:rsidP="000E0BF3">
      <w:pPr>
        <w:spacing w:line="480" w:lineRule="auto"/>
        <w:ind w:firstLine="720"/>
        <w:rPr>
          <w:rFonts w:cs="Times New Roman"/>
        </w:rPr>
      </w:pPr>
    </w:p>
    <w:p w14:paraId="713179C1" w14:textId="724E052E" w:rsidR="000E0BF3" w:rsidRPr="000E7469" w:rsidRDefault="000E0BF3" w:rsidP="000E0BF3">
      <w:pPr>
        <w:spacing w:line="480" w:lineRule="auto"/>
        <w:ind w:firstLine="720"/>
        <w:rPr>
          <w:rFonts w:cs="Times New Roman"/>
        </w:rPr>
      </w:pPr>
      <w:r w:rsidRPr="000E7469">
        <w:rPr>
          <w:rFonts w:cs="Times New Roman"/>
        </w:rPr>
        <w:lastRenderedPageBreak/>
        <w:t>Discharge planners also highlighted the importance of cognitive assessment in the nursing home discharge planning process</w:t>
      </w:r>
      <w:r w:rsidR="009B0DDF">
        <w:rPr>
          <w:rFonts w:cs="Times New Roman"/>
        </w:rPr>
        <w:t>. T</w:t>
      </w:r>
      <w:r w:rsidRPr="000E7469">
        <w:rPr>
          <w:rFonts w:cs="Times New Roman"/>
        </w:rPr>
        <w:t xml:space="preserve">hey </w:t>
      </w:r>
      <w:r w:rsidR="009B0DDF">
        <w:rPr>
          <w:rFonts w:cs="Times New Roman"/>
        </w:rPr>
        <w:t xml:space="preserve">rated the risk of several potentially adverse events occurring </w:t>
      </w:r>
      <w:r w:rsidRPr="000E7469">
        <w:rPr>
          <w:rFonts w:cs="Times New Roman"/>
        </w:rPr>
        <w:t xml:space="preserve">as a function of cognitive impairment. As shown in Table 5, </w:t>
      </w:r>
      <w:r>
        <w:rPr>
          <w:rFonts w:cs="Times New Roman"/>
        </w:rPr>
        <w:t>nursing staff</w:t>
      </w:r>
      <w:r w:rsidRPr="000E7469">
        <w:rPr>
          <w:rFonts w:cs="Times New Roman"/>
        </w:rPr>
        <w:t xml:space="preserve"> almost unanimously agreed that residents with cognitive impairment are often at risk for medication management errors, re-hospitalization, and missed doctor appointments. Appendix</w:t>
      </w:r>
      <w:r>
        <w:rPr>
          <w:rFonts w:cs="Times New Roman"/>
        </w:rPr>
        <w:t xml:space="preserve"> 1</w:t>
      </w:r>
      <w:r w:rsidRPr="000E7469">
        <w:rPr>
          <w:rFonts w:cs="Times New Roman"/>
        </w:rPr>
        <w:t xml:space="preserve"> lists other risks associated with cognitive impairment identified </w:t>
      </w:r>
      <w:r>
        <w:rPr>
          <w:rFonts w:cs="Times New Roman"/>
        </w:rPr>
        <w:t>by nursing staff.</w:t>
      </w:r>
    </w:p>
    <w:p w14:paraId="1218C778" w14:textId="77777777" w:rsidR="000E0BF3" w:rsidRPr="000E7469" w:rsidRDefault="000E0BF3" w:rsidP="000E0BF3">
      <w:pPr>
        <w:spacing w:line="480" w:lineRule="auto"/>
        <w:ind w:left="720"/>
        <w:rPr>
          <w:rFonts w:cs="Times New Roman"/>
          <w:i/>
        </w:rPr>
      </w:pPr>
      <w:r w:rsidRPr="000E7469">
        <w:rPr>
          <w:rFonts w:cs="Times New Roman"/>
          <w:i/>
        </w:rPr>
        <w:t>Table 5. “Residents with cognitive impairment are typically at risk for…”</w:t>
      </w:r>
    </w:p>
    <w:tbl>
      <w:tblPr>
        <w:tblW w:w="5867" w:type="dxa"/>
        <w:jc w:val="center"/>
        <w:tblLook w:val="04A0" w:firstRow="1" w:lastRow="0" w:firstColumn="1" w:lastColumn="0" w:noHBand="0" w:noVBand="1"/>
      </w:tblPr>
      <w:tblGrid>
        <w:gridCol w:w="2967"/>
        <w:gridCol w:w="1600"/>
        <w:gridCol w:w="1300"/>
      </w:tblGrid>
      <w:tr w:rsidR="007D59B8" w:rsidRPr="007D59B8" w14:paraId="16BC5592" w14:textId="77777777" w:rsidTr="007D59B8">
        <w:trPr>
          <w:trHeight w:val="340"/>
          <w:jc w:val="center"/>
        </w:trPr>
        <w:tc>
          <w:tcPr>
            <w:tcW w:w="2967" w:type="dxa"/>
            <w:tcBorders>
              <w:top w:val="single" w:sz="8" w:space="0" w:color="auto"/>
              <w:left w:val="nil"/>
              <w:bottom w:val="single" w:sz="8" w:space="0" w:color="auto"/>
              <w:right w:val="nil"/>
            </w:tcBorders>
            <w:shd w:val="clear" w:color="auto" w:fill="auto"/>
            <w:vAlign w:val="center"/>
            <w:hideMark/>
          </w:tcPr>
          <w:p w14:paraId="71875372" w14:textId="77777777" w:rsidR="007D59B8" w:rsidRPr="007D59B8" w:rsidRDefault="007D59B8" w:rsidP="007D59B8">
            <w:pPr>
              <w:rPr>
                <w:rFonts w:eastAsia="Times New Roman" w:cs="Times New Roman"/>
                <w:color w:val="000000"/>
              </w:rPr>
            </w:pPr>
            <w:r w:rsidRPr="007D59B8">
              <w:rPr>
                <w:rFonts w:eastAsia="Times New Roman" w:cs="Times New Roman"/>
                <w:color w:val="000000"/>
              </w:rPr>
              <w:t> </w:t>
            </w:r>
          </w:p>
        </w:tc>
        <w:tc>
          <w:tcPr>
            <w:tcW w:w="1600" w:type="dxa"/>
            <w:tcBorders>
              <w:top w:val="single" w:sz="8" w:space="0" w:color="auto"/>
              <w:left w:val="nil"/>
              <w:bottom w:val="single" w:sz="8" w:space="0" w:color="auto"/>
              <w:right w:val="nil"/>
            </w:tcBorders>
            <w:shd w:val="clear" w:color="auto" w:fill="auto"/>
            <w:vAlign w:val="center"/>
            <w:hideMark/>
          </w:tcPr>
          <w:p w14:paraId="6F9920D1"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Yes</w:t>
            </w:r>
          </w:p>
        </w:tc>
        <w:tc>
          <w:tcPr>
            <w:tcW w:w="1300" w:type="dxa"/>
            <w:tcBorders>
              <w:top w:val="single" w:sz="8" w:space="0" w:color="auto"/>
              <w:left w:val="nil"/>
              <w:bottom w:val="single" w:sz="8" w:space="0" w:color="auto"/>
              <w:right w:val="nil"/>
            </w:tcBorders>
            <w:shd w:val="clear" w:color="auto" w:fill="auto"/>
            <w:vAlign w:val="center"/>
            <w:hideMark/>
          </w:tcPr>
          <w:p w14:paraId="608CDB0C"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No</w:t>
            </w:r>
          </w:p>
        </w:tc>
      </w:tr>
      <w:tr w:rsidR="007D59B8" w:rsidRPr="007D59B8" w14:paraId="20AEB1BE" w14:textId="77777777" w:rsidTr="007D59B8">
        <w:trPr>
          <w:trHeight w:val="320"/>
          <w:jc w:val="center"/>
        </w:trPr>
        <w:tc>
          <w:tcPr>
            <w:tcW w:w="2967" w:type="dxa"/>
            <w:tcBorders>
              <w:top w:val="nil"/>
              <w:left w:val="nil"/>
              <w:bottom w:val="nil"/>
              <w:right w:val="nil"/>
            </w:tcBorders>
            <w:shd w:val="clear" w:color="auto" w:fill="auto"/>
            <w:vAlign w:val="center"/>
            <w:hideMark/>
          </w:tcPr>
          <w:p w14:paraId="522B7F54" w14:textId="77777777" w:rsidR="007D59B8" w:rsidRPr="007D59B8" w:rsidRDefault="007D59B8" w:rsidP="007D59B8">
            <w:pPr>
              <w:rPr>
                <w:rFonts w:eastAsia="Times New Roman" w:cs="Times New Roman"/>
                <w:color w:val="000000"/>
              </w:rPr>
            </w:pPr>
            <w:r w:rsidRPr="007D59B8">
              <w:rPr>
                <w:rFonts w:eastAsia="Times New Roman" w:cs="Times New Roman"/>
                <w:color w:val="000000"/>
              </w:rPr>
              <w:t>Falls</w:t>
            </w:r>
          </w:p>
        </w:tc>
        <w:tc>
          <w:tcPr>
            <w:tcW w:w="1600" w:type="dxa"/>
            <w:tcBorders>
              <w:top w:val="nil"/>
              <w:left w:val="nil"/>
              <w:bottom w:val="nil"/>
              <w:right w:val="nil"/>
            </w:tcBorders>
            <w:shd w:val="clear" w:color="auto" w:fill="auto"/>
            <w:vAlign w:val="center"/>
            <w:hideMark/>
          </w:tcPr>
          <w:p w14:paraId="69C0A9AE"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96.00%</w:t>
            </w:r>
          </w:p>
        </w:tc>
        <w:tc>
          <w:tcPr>
            <w:tcW w:w="1300" w:type="dxa"/>
            <w:tcBorders>
              <w:top w:val="nil"/>
              <w:left w:val="nil"/>
              <w:bottom w:val="nil"/>
              <w:right w:val="nil"/>
            </w:tcBorders>
            <w:shd w:val="clear" w:color="auto" w:fill="auto"/>
            <w:vAlign w:val="center"/>
            <w:hideMark/>
          </w:tcPr>
          <w:p w14:paraId="1F3A7532"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4.00%</w:t>
            </w:r>
          </w:p>
        </w:tc>
      </w:tr>
      <w:tr w:rsidR="007D59B8" w:rsidRPr="007D59B8" w14:paraId="4FCA0A29" w14:textId="77777777" w:rsidTr="007D59B8">
        <w:trPr>
          <w:trHeight w:val="640"/>
          <w:jc w:val="center"/>
        </w:trPr>
        <w:tc>
          <w:tcPr>
            <w:tcW w:w="2967" w:type="dxa"/>
            <w:tcBorders>
              <w:top w:val="nil"/>
              <w:left w:val="nil"/>
              <w:bottom w:val="nil"/>
              <w:right w:val="nil"/>
            </w:tcBorders>
            <w:shd w:val="clear" w:color="auto" w:fill="auto"/>
            <w:vAlign w:val="center"/>
            <w:hideMark/>
          </w:tcPr>
          <w:p w14:paraId="68E590CD" w14:textId="77777777" w:rsidR="007D59B8" w:rsidRPr="007D59B8" w:rsidRDefault="007D59B8" w:rsidP="007D59B8">
            <w:pPr>
              <w:rPr>
                <w:rFonts w:eastAsia="Times New Roman" w:cs="Times New Roman"/>
                <w:color w:val="000000"/>
              </w:rPr>
            </w:pPr>
            <w:r w:rsidRPr="007D59B8">
              <w:rPr>
                <w:rFonts w:eastAsia="Times New Roman" w:cs="Times New Roman"/>
                <w:color w:val="000000"/>
              </w:rPr>
              <w:t>Improper medication management</w:t>
            </w:r>
          </w:p>
        </w:tc>
        <w:tc>
          <w:tcPr>
            <w:tcW w:w="1600" w:type="dxa"/>
            <w:tcBorders>
              <w:top w:val="nil"/>
              <w:left w:val="nil"/>
              <w:bottom w:val="nil"/>
              <w:right w:val="nil"/>
            </w:tcBorders>
            <w:shd w:val="clear" w:color="auto" w:fill="auto"/>
            <w:vAlign w:val="center"/>
            <w:hideMark/>
          </w:tcPr>
          <w:p w14:paraId="49F0ECF4"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92.00%</w:t>
            </w:r>
          </w:p>
        </w:tc>
        <w:tc>
          <w:tcPr>
            <w:tcW w:w="1300" w:type="dxa"/>
            <w:tcBorders>
              <w:top w:val="nil"/>
              <w:left w:val="nil"/>
              <w:bottom w:val="nil"/>
              <w:right w:val="nil"/>
            </w:tcBorders>
            <w:shd w:val="clear" w:color="auto" w:fill="auto"/>
            <w:vAlign w:val="center"/>
            <w:hideMark/>
          </w:tcPr>
          <w:p w14:paraId="3ABF165F"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8.00%</w:t>
            </w:r>
          </w:p>
        </w:tc>
      </w:tr>
      <w:tr w:rsidR="007D59B8" w:rsidRPr="007D59B8" w14:paraId="354CB7FE" w14:textId="77777777" w:rsidTr="007D59B8">
        <w:trPr>
          <w:trHeight w:val="320"/>
          <w:jc w:val="center"/>
        </w:trPr>
        <w:tc>
          <w:tcPr>
            <w:tcW w:w="2967" w:type="dxa"/>
            <w:tcBorders>
              <w:top w:val="nil"/>
              <w:left w:val="nil"/>
              <w:bottom w:val="nil"/>
              <w:right w:val="nil"/>
            </w:tcBorders>
            <w:shd w:val="clear" w:color="auto" w:fill="auto"/>
            <w:vAlign w:val="center"/>
            <w:hideMark/>
          </w:tcPr>
          <w:p w14:paraId="14F4A3F5" w14:textId="77777777" w:rsidR="007D59B8" w:rsidRPr="007D59B8" w:rsidRDefault="007D59B8" w:rsidP="007D59B8">
            <w:pPr>
              <w:rPr>
                <w:rFonts w:eastAsia="Times New Roman" w:cs="Times New Roman"/>
                <w:color w:val="000000"/>
              </w:rPr>
            </w:pPr>
            <w:r w:rsidRPr="007D59B8">
              <w:rPr>
                <w:rFonts w:eastAsia="Times New Roman" w:cs="Times New Roman"/>
                <w:color w:val="000000"/>
              </w:rPr>
              <w:t>Re-hospitalization</w:t>
            </w:r>
          </w:p>
        </w:tc>
        <w:tc>
          <w:tcPr>
            <w:tcW w:w="1600" w:type="dxa"/>
            <w:tcBorders>
              <w:top w:val="nil"/>
              <w:left w:val="nil"/>
              <w:bottom w:val="nil"/>
              <w:right w:val="nil"/>
            </w:tcBorders>
            <w:shd w:val="clear" w:color="auto" w:fill="auto"/>
            <w:vAlign w:val="center"/>
            <w:hideMark/>
          </w:tcPr>
          <w:p w14:paraId="0842B869"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92.00%</w:t>
            </w:r>
          </w:p>
        </w:tc>
        <w:tc>
          <w:tcPr>
            <w:tcW w:w="1300" w:type="dxa"/>
            <w:tcBorders>
              <w:top w:val="nil"/>
              <w:left w:val="nil"/>
              <w:bottom w:val="nil"/>
              <w:right w:val="nil"/>
            </w:tcBorders>
            <w:shd w:val="clear" w:color="auto" w:fill="auto"/>
            <w:vAlign w:val="center"/>
            <w:hideMark/>
          </w:tcPr>
          <w:p w14:paraId="02A955C9"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8.00%</w:t>
            </w:r>
          </w:p>
        </w:tc>
      </w:tr>
      <w:tr w:rsidR="007D59B8" w:rsidRPr="007D59B8" w14:paraId="63AE68F4" w14:textId="77777777" w:rsidTr="007D59B8">
        <w:trPr>
          <w:trHeight w:val="340"/>
          <w:jc w:val="center"/>
        </w:trPr>
        <w:tc>
          <w:tcPr>
            <w:tcW w:w="2967" w:type="dxa"/>
            <w:tcBorders>
              <w:top w:val="nil"/>
              <w:left w:val="nil"/>
              <w:bottom w:val="single" w:sz="8" w:space="0" w:color="auto"/>
              <w:right w:val="nil"/>
            </w:tcBorders>
            <w:shd w:val="clear" w:color="auto" w:fill="auto"/>
            <w:vAlign w:val="center"/>
            <w:hideMark/>
          </w:tcPr>
          <w:p w14:paraId="5B3B590D" w14:textId="77777777" w:rsidR="007D59B8" w:rsidRPr="007D59B8" w:rsidRDefault="007D59B8" w:rsidP="007D59B8">
            <w:pPr>
              <w:rPr>
                <w:rFonts w:eastAsia="Times New Roman" w:cs="Times New Roman"/>
                <w:color w:val="000000"/>
              </w:rPr>
            </w:pPr>
            <w:r w:rsidRPr="007D59B8">
              <w:rPr>
                <w:rFonts w:eastAsia="Times New Roman" w:cs="Times New Roman"/>
                <w:color w:val="000000"/>
              </w:rPr>
              <w:t>Missed doctor appointments</w:t>
            </w:r>
          </w:p>
        </w:tc>
        <w:tc>
          <w:tcPr>
            <w:tcW w:w="1600" w:type="dxa"/>
            <w:tcBorders>
              <w:top w:val="nil"/>
              <w:left w:val="nil"/>
              <w:bottom w:val="single" w:sz="8" w:space="0" w:color="auto"/>
              <w:right w:val="nil"/>
            </w:tcBorders>
            <w:shd w:val="clear" w:color="auto" w:fill="auto"/>
            <w:vAlign w:val="center"/>
            <w:hideMark/>
          </w:tcPr>
          <w:p w14:paraId="0ED42709"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88.00%</w:t>
            </w:r>
          </w:p>
        </w:tc>
        <w:tc>
          <w:tcPr>
            <w:tcW w:w="1300" w:type="dxa"/>
            <w:tcBorders>
              <w:top w:val="nil"/>
              <w:left w:val="nil"/>
              <w:bottom w:val="single" w:sz="8" w:space="0" w:color="auto"/>
              <w:right w:val="nil"/>
            </w:tcBorders>
            <w:shd w:val="clear" w:color="auto" w:fill="auto"/>
            <w:vAlign w:val="center"/>
            <w:hideMark/>
          </w:tcPr>
          <w:p w14:paraId="7BEA398A" w14:textId="77777777" w:rsidR="007D59B8" w:rsidRPr="007D59B8" w:rsidRDefault="007D59B8" w:rsidP="007D59B8">
            <w:pPr>
              <w:jc w:val="center"/>
              <w:rPr>
                <w:rFonts w:eastAsia="Times New Roman" w:cs="Times New Roman"/>
                <w:color w:val="000000"/>
              </w:rPr>
            </w:pPr>
            <w:r w:rsidRPr="007D59B8">
              <w:rPr>
                <w:rFonts w:eastAsia="Times New Roman" w:cs="Times New Roman"/>
                <w:color w:val="000000"/>
              </w:rPr>
              <w:t>12.00%</w:t>
            </w:r>
          </w:p>
        </w:tc>
      </w:tr>
    </w:tbl>
    <w:p w14:paraId="7C8257D5" w14:textId="77777777" w:rsidR="007D59B8" w:rsidRDefault="007D59B8" w:rsidP="000E0BF3">
      <w:pPr>
        <w:spacing w:line="480" w:lineRule="auto"/>
        <w:ind w:firstLine="720"/>
        <w:rPr>
          <w:rFonts w:cs="Times New Roman"/>
        </w:rPr>
      </w:pPr>
    </w:p>
    <w:p w14:paraId="3A00AB9C" w14:textId="59958A5D" w:rsidR="000E0BF3" w:rsidRDefault="009B0DDF" w:rsidP="000E0BF3">
      <w:pPr>
        <w:spacing w:line="480" w:lineRule="auto"/>
        <w:ind w:firstLine="720"/>
        <w:rPr>
          <w:rFonts w:cs="Times New Roman"/>
        </w:rPr>
      </w:pPr>
      <w:r>
        <w:rPr>
          <w:rFonts w:cs="Times New Roman"/>
        </w:rPr>
        <w:t>Exploring how discharge planners assess cognitive functioning is important because cognitive deficits among nursing home residents increase the potential risk of a number of adverse events post-discharge.</w:t>
      </w:r>
      <w:r w:rsidR="000E0BF3" w:rsidRPr="000E7469">
        <w:rPr>
          <w:rFonts w:cs="Times New Roman"/>
        </w:rPr>
        <w:t xml:space="preserve"> The primary formal source of cognitive functioning information for discharging nursing home residents is the Brief Instrument for Mental Status (BIMS). The BIMS is the mandated cognitive assessment used in U.S. nursing homes. </w:t>
      </w:r>
      <w:r w:rsidR="009A53A4">
        <w:rPr>
          <w:rFonts w:cs="Times New Roman"/>
        </w:rPr>
        <w:t>Fifty-seven</w:t>
      </w:r>
      <w:r w:rsidR="007C5993">
        <w:rPr>
          <w:rFonts w:cs="Times New Roman"/>
        </w:rPr>
        <w:t xml:space="preserve"> percent of</w:t>
      </w:r>
      <w:r w:rsidR="000E0BF3" w:rsidRPr="000E7469">
        <w:rPr>
          <w:rFonts w:cs="Times New Roman"/>
        </w:rPr>
        <w:t xml:space="preserve"> </w:t>
      </w:r>
      <w:r w:rsidR="000E0BF3">
        <w:rPr>
          <w:rFonts w:cs="Times New Roman"/>
        </w:rPr>
        <w:t>nursing staff</w:t>
      </w:r>
      <w:r>
        <w:rPr>
          <w:rFonts w:cs="Times New Roman"/>
        </w:rPr>
        <w:t xml:space="preserve"> </w:t>
      </w:r>
      <w:r w:rsidR="000E0BF3" w:rsidRPr="000E7469">
        <w:rPr>
          <w:rFonts w:cs="Times New Roman"/>
        </w:rPr>
        <w:t xml:space="preserve">indicated that they </w:t>
      </w:r>
      <w:r w:rsidR="000E0BF3" w:rsidRPr="009A53A4">
        <w:rPr>
          <w:rFonts w:cs="Times New Roman"/>
          <w:i/>
        </w:rPr>
        <w:t>do not</w:t>
      </w:r>
      <w:r w:rsidR="000E0BF3" w:rsidRPr="000E7469">
        <w:rPr>
          <w:rFonts w:cs="Times New Roman"/>
        </w:rPr>
        <w:t xml:space="preserve"> routinely use cognitive instruments other than the BIMS as part of nursing home discharge planning</w:t>
      </w:r>
      <w:r w:rsidR="007C5993">
        <w:rPr>
          <w:rFonts w:cs="Times New Roman"/>
        </w:rPr>
        <w:t>. This suggests that</w:t>
      </w:r>
      <w:r w:rsidR="000E0BF3">
        <w:rPr>
          <w:rFonts w:cs="Times New Roman"/>
        </w:rPr>
        <w:t xml:space="preserve"> the</w:t>
      </w:r>
      <w:r w:rsidR="000E0BF3" w:rsidRPr="000E7469">
        <w:rPr>
          <w:rFonts w:cs="Times New Roman"/>
        </w:rPr>
        <w:t xml:space="preserve"> BIMS is the </w:t>
      </w:r>
      <w:r w:rsidR="000E0BF3" w:rsidRPr="000E7469">
        <w:rPr>
          <w:rFonts w:cs="Times New Roman"/>
          <w:i/>
        </w:rPr>
        <w:t>de facto</w:t>
      </w:r>
      <w:r w:rsidR="000E0BF3" w:rsidRPr="000E7469">
        <w:rPr>
          <w:rFonts w:cs="Times New Roman"/>
        </w:rPr>
        <w:t xml:space="preserve"> measure of cognitive functioning. </w:t>
      </w:r>
      <w:r w:rsidR="000E0BF3">
        <w:rPr>
          <w:rFonts w:cs="Times New Roman"/>
        </w:rPr>
        <w:t xml:space="preserve">Nevertheless, </w:t>
      </w:r>
      <w:r w:rsidR="007C5993">
        <w:rPr>
          <w:rFonts w:cs="Times New Roman"/>
        </w:rPr>
        <w:t>50%</w:t>
      </w:r>
      <w:r w:rsidR="000E0BF3" w:rsidRPr="000E7469">
        <w:rPr>
          <w:rFonts w:cs="Times New Roman"/>
        </w:rPr>
        <w:t xml:space="preserve"> of the discharge planners rated the BIMS as “not relevant” or</w:t>
      </w:r>
      <w:r w:rsidR="000E0BF3">
        <w:rPr>
          <w:rFonts w:cs="Times New Roman"/>
        </w:rPr>
        <w:t xml:space="preserve"> only</w:t>
      </w:r>
      <w:r w:rsidR="000E0BF3" w:rsidRPr="000E7469">
        <w:rPr>
          <w:rFonts w:cs="Times New Roman"/>
        </w:rPr>
        <w:t xml:space="preserve"> “somewhat relevant” for discharge planni</w:t>
      </w:r>
      <w:r w:rsidR="000E0BF3">
        <w:rPr>
          <w:rFonts w:cs="Times New Roman"/>
        </w:rPr>
        <w:t xml:space="preserve">ng. </w:t>
      </w:r>
    </w:p>
    <w:p w14:paraId="46C45816" w14:textId="3B00773D" w:rsidR="000E0BF3" w:rsidRPr="000E7469" w:rsidRDefault="000E0BF3" w:rsidP="000E0BF3">
      <w:pPr>
        <w:spacing w:line="480" w:lineRule="auto"/>
        <w:ind w:firstLine="720"/>
        <w:rPr>
          <w:rFonts w:cs="Times New Roman"/>
        </w:rPr>
      </w:pPr>
      <w:r>
        <w:rPr>
          <w:rFonts w:cs="Times New Roman"/>
        </w:rPr>
        <w:t>D</w:t>
      </w:r>
      <w:r w:rsidRPr="000E7469">
        <w:rPr>
          <w:rFonts w:cs="Times New Roman"/>
        </w:rPr>
        <w:t>ischarge planners report</w:t>
      </w:r>
      <w:r>
        <w:rPr>
          <w:rFonts w:cs="Times New Roman"/>
        </w:rPr>
        <w:t>ed</w:t>
      </w:r>
      <w:r w:rsidRPr="000E7469">
        <w:rPr>
          <w:rFonts w:cs="Times New Roman"/>
        </w:rPr>
        <w:t xml:space="preserve"> using cognitive instruments to </w:t>
      </w:r>
      <w:r>
        <w:rPr>
          <w:rFonts w:cs="Times New Roman"/>
        </w:rPr>
        <w:t>understand residents’</w:t>
      </w:r>
      <w:r w:rsidRPr="000E7469">
        <w:rPr>
          <w:rFonts w:cs="Times New Roman"/>
        </w:rPr>
        <w:t xml:space="preserve"> </w:t>
      </w:r>
      <w:r>
        <w:rPr>
          <w:rFonts w:cs="Times New Roman"/>
        </w:rPr>
        <w:t>cognition</w:t>
      </w:r>
      <w:r w:rsidRPr="000E7469">
        <w:rPr>
          <w:rFonts w:cs="Times New Roman"/>
        </w:rPr>
        <w:t xml:space="preserve"> and </w:t>
      </w:r>
      <w:r>
        <w:rPr>
          <w:rFonts w:cs="Times New Roman"/>
        </w:rPr>
        <w:t>daily functioning</w:t>
      </w:r>
      <w:r w:rsidRPr="000E7469">
        <w:rPr>
          <w:rFonts w:cs="Times New Roman"/>
        </w:rPr>
        <w:t>. As presented in Table 6,</w:t>
      </w:r>
      <w:r w:rsidR="009B0DDF">
        <w:rPr>
          <w:rFonts w:cs="Times New Roman"/>
        </w:rPr>
        <w:t xml:space="preserve"> nursing staff most commonly used</w:t>
      </w:r>
      <w:r w:rsidRPr="000E7469">
        <w:rPr>
          <w:rFonts w:cs="Times New Roman"/>
        </w:rPr>
        <w:t xml:space="preserve"> cognitive instruments during discharge planning to assess resident’s memory functioning </w:t>
      </w:r>
      <w:r w:rsidRPr="000E7469">
        <w:rPr>
          <w:rFonts w:cs="Times New Roman"/>
        </w:rPr>
        <w:lastRenderedPageBreak/>
        <w:t xml:space="preserve">(70.8%). Discharge planners reported </w:t>
      </w:r>
      <w:r w:rsidR="009B0DDF">
        <w:rPr>
          <w:rFonts w:cs="Times New Roman"/>
        </w:rPr>
        <w:t>using</w:t>
      </w:r>
      <w:r w:rsidRPr="000E7469">
        <w:rPr>
          <w:rFonts w:cs="Times New Roman"/>
        </w:rPr>
        <w:t xml:space="preserve"> cognitive instruments were less frequently used to assess</w:t>
      </w:r>
      <w:r>
        <w:rPr>
          <w:rFonts w:cs="Times New Roman"/>
        </w:rPr>
        <w:t xml:space="preserve"> </w:t>
      </w:r>
      <w:r w:rsidRPr="000E7469">
        <w:rPr>
          <w:rFonts w:cs="Times New Roman"/>
        </w:rPr>
        <w:t>IADL functioning (62.5%)</w:t>
      </w:r>
      <w:r>
        <w:rPr>
          <w:rFonts w:cs="Times New Roman"/>
        </w:rPr>
        <w:t xml:space="preserve">, </w:t>
      </w:r>
      <w:r w:rsidRPr="000E7469">
        <w:rPr>
          <w:rFonts w:cs="Times New Roman"/>
        </w:rPr>
        <w:t xml:space="preserve">ability to provide self-care (58.3%), and judgment (54.2%), </w:t>
      </w:r>
    </w:p>
    <w:p w14:paraId="75742AB7" w14:textId="77777777" w:rsidR="000E0BF3" w:rsidRDefault="000E0BF3" w:rsidP="000E0BF3">
      <w:pPr>
        <w:spacing w:line="480" w:lineRule="auto"/>
        <w:ind w:left="720"/>
        <w:rPr>
          <w:rFonts w:cs="Times New Roman"/>
          <w:i/>
        </w:rPr>
      </w:pPr>
      <w:r w:rsidRPr="000E7469">
        <w:rPr>
          <w:rFonts w:cs="Times New Roman"/>
          <w:i/>
        </w:rPr>
        <w:t>Table 6. “Do you routinely use information from a cognitive instrument to assess the following areas during discharge planning?”</w:t>
      </w:r>
    </w:p>
    <w:tbl>
      <w:tblPr>
        <w:tblW w:w="6840" w:type="dxa"/>
        <w:jc w:val="center"/>
        <w:tblLook w:val="04A0" w:firstRow="1" w:lastRow="0" w:firstColumn="1" w:lastColumn="0" w:noHBand="0" w:noVBand="1"/>
      </w:tblPr>
      <w:tblGrid>
        <w:gridCol w:w="3940"/>
        <w:gridCol w:w="1600"/>
        <w:gridCol w:w="1300"/>
      </w:tblGrid>
      <w:tr w:rsidR="007C5993" w:rsidRPr="007C5993" w14:paraId="2F4788E6" w14:textId="77777777" w:rsidTr="007C5993">
        <w:trPr>
          <w:trHeight w:val="340"/>
          <w:jc w:val="center"/>
        </w:trPr>
        <w:tc>
          <w:tcPr>
            <w:tcW w:w="3940" w:type="dxa"/>
            <w:tcBorders>
              <w:top w:val="single" w:sz="8" w:space="0" w:color="auto"/>
              <w:left w:val="nil"/>
              <w:bottom w:val="single" w:sz="8" w:space="0" w:color="auto"/>
              <w:right w:val="nil"/>
            </w:tcBorders>
            <w:shd w:val="clear" w:color="auto" w:fill="auto"/>
            <w:vAlign w:val="center"/>
            <w:hideMark/>
          </w:tcPr>
          <w:p w14:paraId="2D7EF008" w14:textId="77777777" w:rsidR="007C5993" w:rsidRPr="007C5993" w:rsidRDefault="007C5993" w:rsidP="007C5993">
            <w:pPr>
              <w:rPr>
                <w:rFonts w:eastAsia="Times New Roman" w:cs="Times New Roman"/>
                <w:color w:val="000000"/>
              </w:rPr>
            </w:pPr>
            <w:r w:rsidRPr="007C5993">
              <w:rPr>
                <w:rFonts w:eastAsia="Times New Roman" w:cs="Times New Roman"/>
                <w:color w:val="000000"/>
              </w:rPr>
              <w:t> </w:t>
            </w:r>
          </w:p>
        </w:tc>
        <w:tc>
          <w:tcPr>
            <w:tcW w:w="1600" w:type="dxa"/>
            <w:tcBorders>
              <w:top w:val="single" w:sz="8" w:space="0" w:color="auto"/>
              <w:left w:val="nil"/>
              <w:bottom w:val="single" w:sz="8" w:space="0" w:color="auto"/>
              <w:right w:val="nil"/>
            </w:tcBorders>
            <w:shd w:val="clear" w:color="auto" w:fill="auto"/>
            <w:vAlign w:val="center"/>
            <w:hideMark/>
          </w:tcPr>
          <w:p w14:paraId="79CB3C11"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Yes</w:t>
            </w:r>
          </w:p>
        </w:tc>
        <w:tc>
          <w:tcPr>
            <w:tcW w:w="1300" w:type="dxa"/>
            <w:tcBorders>
              <w:top w:val="single" w:sz="8" w:space="0" w:color="auto"/>
              <w:left w:val="nil"/>
              <w:bottom w:val="single" w:sz="8" w:space="0" w:color="auto"/>
              <w:right w:val="nil"/>
            </w:tcBorders>
            <w:shd w:val="clear" w:color="auto" w:fill="auto"/>
            <w:vAlign w:val="center"/>
            <w:hideMark/>
          </w:tcPr>
          <w:p w14:paraId="04CC5E3A"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No</w:t>
            </w:r>
          </w:p>
        </w:tc>
      </w:tr>
      <w:tr w:rsidR="007C5993" w:rsidRPr="007C5993" w14:paraId="28283CE1" w14:textId="77777777" w:rsidTr="007C5993">
        <w:trPr>
          <w:trHeight w:val="320"/>
          <w:jc w:val="center"/>
        </w:trPr>
        <w:tc>
          <w:tcPr>
            <w:tcW w:w="3940" w:type="dxa"/>
            <w:tcBorders>
              <w:top w:val="nil"/>
              <w:left w:val="nil"/>
              <w:bottom w:val="nil"/>
              <w:right w:val="nil"/>
            </w:tcBorders>
            <w:shd w:val="clear" w:color="auto" w:fill="auto"/>
            <w:vAlign w:val="center"/>
            <w:hideMark/>
          </w:tcPr>
          <w:p w14:paraId="665BB160" w14:textId="77777777" w:rsidR="007C5993" w:rsidRPr="007C5993" w:rsidRDefault="007C5993" w:rsidP="007C5993">
            <w:pPr>
              <w:rPr>
                <w:rFonts w:eastAsia="Times New Roman" w:cs="Times New Roman"/>
                <w:color w:val="000000"/>
              </w:rPr>
            </w:pPr>
            <w:r w:rsidRPr="007C5993">
              <w:rPr>
                <w:rFonts w:eastAsia="Times New Roman" w:cs="Times New Roman"/>
                <w:color w:val="000000"/>
              </w:rPr>
              <w:t>Memory</w:t>
            </w:r>
          </w:p>
        </w:tc>
        <w:tc>
          <w:tcPr>
            <w:tcW w:w="1600" w:type="dxa"/>
            <w:tcBorders>
              <w:top w:val="nil"/>
              <w:left w:val="nil"/>
              <w:bottom w:val="nil"/>
              <w:right w:val="nil"/>
            </w:tcBorders>
            <w:shd w:val="clear" w:color="auto" w:fill="auto"/>
            <w:vAlign w:val="center"/>
            <w:hideMark/>
          </w:tcPr>
          <w:p w14:paraId="66B09733"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70.83%</w:t>
            </w:r>
          </w:p>
        </w:tc>
        <w:tc>
          <w:tcPr>
            <w:tcW w:w="1300" w:type="dxa"/>
            <w:tcBorders>
              <w:top w:val="nil"/>
              <w:left w:val="nil"/>
              <w:bottom w:val="nil"/>
              <w:right w:val="nil"/>
            </w:tcBorders>
            <w:shd w:val="clear" w:color="auto" w:fill="auto"/>
            <w:vAlign w:val="center"/>
            <w:hideMark/>
          </w:tcPr>
          <w:p w14:paraId="1FA56BE0"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29.17%</w:t>
            </w:r>
          </w:p>
        </w:tc>
      </w:tr>
      <w:tr w:rsidR="007C5993" w:rsidRPr="007C5993" w14:paraId="0D9F46EC" w14:textId="77777777" w:rsidTr="007C5993">
        <w:trPr>
          <w:trHeight w:val="320"/>
          <w:jc w:val="center"/>
        </w:trPr>
        <w:tc>
          <w:tcPr>
            <w:tcW w:w="3940" w:type="dxa"/>
            <w:tcBorders>
              <w:top w:val="nil"/>
              <w:left w:val="nil"/>
              <w:bottom w:val="nil"/>
              <w:right w:val="nil"/>
            </w:tcBorders>
            <w:shd w:val="clear" w:color="auto" w:fill="auto"/>
            <w:vAlign w:val="center"/>
            <w:hideMark/>
          </w:tcPr>
          <w:p w14:paraId="2AB448AD" w14:textId="77777777" w:rsidR="007C5993" w:rsidRPr="007C5993" w:rsidRDefault="007C5993" w:rsidP="007C5993">
            <w:pPr>
              <w:rPr>
                <w:rFonts w:eastAsia="Times New Roman" w:cs="Times New Roman"/>
                <w:color w:val="000000"/>
              </w:rPr>
            </w:pPr>
            <w:r w:rsidRPr="007C5993">
              <w:rPr>
                <w:rFonts w:eastAsia="Times New Roman" w:cs="Times New Roman"/>
                <w:color w:val="000000"/>
              </w:rPr>
              <w:t>Ability to perform instrumental ADLs</w:t>
            </w:r>
          </w:p>
        </w:tc>
        <w:tc>
          <w:tcPr>
            <w:tcW w:w="1600" w:type="dxa"/>
            <w:tcBorders>
              <w:top w:val="nil"/>
              <w:left w:val="nil"/>
              <w:bottom w:val="nil"/>
              <w:right w:val="nil"/>
            </w:tcBorders>
            <w:shd w:val="clear" w:color="auto" w:fill="auto"/>
            <w:vAlign w:val="center"/>
            <w:hideMark/>
          </w:tcPr>
          <w:p w14:paraId="6154CC85"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62.50%</w:t>
            </w:r>
          </w:p>
        </w:tc>
        <w:tc>
          <w:tcPr>
            <w:tcW w:w="1300" w:type="dxa"/>
            <w:tcBorders>
              <w:top w:val="nil"/>
              <w:left w:val="nil"/>
              <w:bottom w:val="nil"/>
              <w:right w:val="nil"/>
            </w:tcBorders>
            <w:shd w:val="clear" w:color="auto" w:fill="auto"/>
            <w:vAlign w:val="center"/>
            <w:hideMark/>
          </w:tcPr>
          <w:p w14:paraId="0D36E296"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37.50%</w:t>
            </w:r>
          </w:p>
        </w:tc>
      </w:tr>
      <w:tr w:rsidR="007C5993" w:rsidRPr="007C5993" w14:paraId="33871100" w14:textId="77777777" w:rsidTr="007C5993">
        <w:trPr>
          <w:trHeight w:val="320"/>
          <w:jc w:val="center"/>
        </w:trPr>
        <w:tc>
          <w:tcPr>
            <w:tcW w:w="3940" w:type="dxa"/>
            <w:tcBorders>
              <w:top w:val="nil"/>
              <w:left w:val="nil"/>
              <w:bottom w:val="nil"/>
              <w:right w:val="nil"/>
            </w:tcBorders>
            <w:shd w:val="clear" w:color="auto" w:fill="auto"/>
            <w:vAlign w:val="center"/>
            <w:hideMark/>
          </w:tcPr>
          <w:p w14:paraId="32708894" w14:textId="77777777" w:rsidR="007C5993" w:rsidRPr="007C5993" w:rsidRDefault="007C5993" w:rsidP="007C5993">
            <w:pPr>
              <w:rPr>
                <w:rFonts w:eastAsia="Times New Roman" w:cs="Times New Roman"/>
                <w:color w:val="000000"/>
              </w:rPr>
            </w:pPr>
            <w:r w:rsidRPr="007C5993">
              <w:rPr>
                <w:rFonts w:eastAsia="Times New Roman" w:cs="Times New Roman"/>
                <w:color w:val="000000"/>
              </w:rPr>
              <w:t>Ability to provide self-care</w:t>
            </w:r>
          </w:p>
        </w:tc>
        <w:tc>
          <w:tcPr>
            <w:tcW w:w="1600" w:type="dxa"/>
            <w:tcBorders>
              <w:top w:val="nil"/>
              <w:left w:val="nil"/>
              <w:bottom w:val="nil"/>
              <w:right w:val="nil"/>
            </w:tcBorders>
            <w:shd w:val="clear" w:color="auto" w:fill="auto"/>
            <w:vAlign w:val="center"/>
            <w:hideMark/>
          </w:tcPr>
          <w:p w14:paraId="22345C20"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58.33%</w:t>
            </w:r>
          </w:p>
        </w:tc>
        <w:tc>
          <w:tcPr>
            <w:tcW w:w="1300" w:type="dxa"/>
            <w:tcBorders>
              <w:top w:val="nil"/>
              <w:left w:val="nil"/>
              <w:bottom w:val="nil"/>
              <w:right w:val="nil"/>
            </w:tcBorders>
            <w:shd w:val="clear" w:color="auto" w:fill="auto"/>
            <w:vAlign w:val="center"/>
            <w:hideMark/>
          </w:tcPr>
          <w:p w14:paraId="4DBF009B"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41.67%</w:t>
            </w:r>
          </w:p>
        </w:tc>
      </w:tr>
      <w:tr w:rsidR="007C5993" w:rsidRPr="007C5993" w14:paraId="1C13B63A" w14:textId="77777777" w:rsidTr="007C5993">
        <w:trPr>
          <w:trHeight w:val="340"/>
          <w:jc w:val="center"/>
        </w:trPr>
        <w:tc>
          <w:tcPr>
            <w:tcW w:w="3940" w:type="dxa"/>
            <w:tcBorders>
              <w:top w:val="nil"/>
              <w:left w:val="nil"/>
              <w:bottom w:val="single" w:sz="8" w:space="0" w:color="auto"/>
              <w:right w:val="nil"/>
            </w:tcBorders>
            <w:shd w:val="clear" w:color="auto" w:fill="auto"/>
            <w:vAlign w:val="center"/>
            <w:hideMark/>
          </w:tcPr>
          <w:p w14:paraId="5FA40CE8" w14:textId="77777777" w:rsidR="007C5993" w:rsidRPr="007C5993" w:rsidRDefault="007C5993" w:rsidP="007C5993">
            <w:pPr>
              <w:rPr>
                <w:rFonts w:eastAsia="Times New Roman" w:cs="Times New Roman"/>
                <w:color w:val="000000"/>
              </w:rPr>
            </w:pPr>
            <w:r w:rsidRPr="007C5993">
              <w:rPr>
                <w:rFonts w:eastAsia="Times New Roman" w:cs="Times New Roman"/>
                <w:color w:val="000000"/>
              </w:rPr>
              <w:t>Judgment</w:t>
            </w:r>
          </w:p>
        </w:tc>
        <w:tc>
          <w:tcPr>
            <w:tcW w:w="1600" w:type="dxa"/>
            <w:tcBorders>
              <w:top w:val="nil"/>
              <w:left w:val="nil"/>
              <w:bottom w:val="single" w:sz="8" w:space="0" w:color="auto"/>
              <w:right w:val="nil"/>
            </w:tcBorders>
            <w:shd w:val="clear" w:color="auto" w:fill="auto"/>
            <w:vAlign w:val="center"/>
            <w:hideMark/>
          </w:tcPr>
          <w:p w14:paraId="33900D4E"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54.17%</w:t>
            </w:r>
          </w:p>
        </w:tc>
        <w:tc>
          <w:tcPr>
            <w:tcW w:w="1300" w:type="dxa"/>
            <w:tcBorders>
              <w:top w:val="nil"/>
              <w:left w:val="nil"/>
              <w:bottom w:val="single" w:sz="8" w:space="0" w:color="auto"/>
              <w:right w:val="nil"/>
            </w:tcBorders>
            <w:shd w:val="clear" w:color="auto" w:fill="auto"/>
            <w:vAlign w:val="center"/>
            <w:hideMark/>
          </w:tcPr>
          <w:p w14:paraId="385B27D4" w14:textId="77777777" w:rsidR="007C5993" w:rsidRPr="007C5993" w:rsidRDefault="007C5993" w:rsidP="007C5993">
            <w:pPr>
              <w:jc w:val="center"/>
              <w:rPr>
                <w:rFonts w:eastAsia="Times New Roman" w:cs="Times New Roman"/>
                <w:color w:val="000000"/>
              </w:rPr>
            </w:pPr>
            <w:r w:rsidRPr="007C5993">
              <w:rPr>
                <w:rFonts w:eastAsia="Times New Roman" w:cs="Times New Roman"/>
                <w:color w:val="000000"/>
              </w:rPr>
              <w:t>45.83%</w:t>
            </w:r>
          </w:p>
        </w:tc>
      </w:tr>
    </w:tbl>
    <w:p w14:paraId="42715A80" w14:textId="77777777" w:rsidR="007C5993" w:rsidRPr="000E7469" w:rsidRDefault="007C5993" w:rsidP="000E0BF3">
      <w:pPr>
        <w:spacing w:line="480" w:lineRule="auto"/>
        <w:ind w:left="720"/>
        <w:rPr>
          <w:rFonts w:cs="Times New Roman"/>
          <w:i/>
        </w:rPr>
      </w:pPr>
    </w:p>
    <w:p w14:paraId="390D9F8F" w14:textId="0F0D0123" w:rsidR="000E0BF3" w:rsidRPr="000E7469" w:rsidRDefault="000E0BF3" w:rsidP="000E0BF3">
      <w:pPr>
        <w:spacing w:line="480" w:lineRule="auto"/>
        <w:ind w:firstLine="720"/>
        <w:rPr>
          <w:rFonts w:cs="Times New Roman"/>
        </w:rPr>
      </w:pPr>
      <w:r w:rsidRPr="000E7469">
        <w:rPr>
          <w:rFonts w:cs="Times New Roman"/>
        </w:rPr>
        <w:t>In summary, discharge planners reported that: (1) s</w:t>
      </w:r>
      <w:r w:rsidR="00F81B79">
        <w:rPr>
          <w:rFonts w:cs="Times New Roman"/>
        </w:rPr>
        <w:t>afety at home, appropriate medication management, and reduced rates of re-hospitalization are indicators of a s</w:t>
      </w:r>
      <w:r w:rsidRPr="000E7469">
        <w:rPr>
          <w:rFonts w:cs="Times New Roman"/>
        </w:rPr>
        <w:t xml:space="preserve">uccessful nursing home </w:t>
      </w:r>
      <w:r w:rsidR="00F81B79">
        <w:rPr>
          <w:rFonts w:cs="Times New Roman"/>
        </w:rPr>
        <w:t>discharge</w:t>
      </w:r>
      <w:r w:rsidRPr="000E7469">
        <w:rPr>
          <w:rFonts w:cs="Times New Roman"/>
        </w:rPr>
        <w:t xml:space="preserve">; (2) successful nursing home discharges are based on vital information from multiple sources, especially the rehabilitation team, resident, and caregivers, inclusive of family members; (3) cognitive assessment is important in discharge planning; (4) more than half of </w:t>
      </w:r>
      <w:r w:rsidR="00BB5A83">
        <w:rPr>
          <w:rFonts w:cs="Times New Roman"/>
        </w:rPr>
        <w:t>them deemed</w:t>
      </w:r>
      <w:r>
        <w:rPr>
          <w:rFonts w:cs="Times New Roman"/>
        </w:rPr>
        <w:t xml:space="preserve"> </w:t>
      </w:r>
      <w:r w:rsidRPr="000E7469">
        <w:rPr>
          <w:rFonts w:cs="Times New Roman"/>
        </w:rPr>
        <w:t xml:space="preserve">the BIMS </w:t>
      </w:r>
      <w:r w:rsidR="00BB5A83">
        <w:rPr>
          <w:rFonts w:cs="Times New Roman"/>
        </w:rPr>
        <w:t>to be only</w:t>
      </w:r>
      <w:r w:rsidRPr="000E7469">
        <w:rPr>
          <w:rFonts w:cs="Times New Roman"/>
        </w:rPr>
        <w:t xml:space="preserve"> somewhat relevant or not relevant</w:t>
      </w:r>
      <w:r>
        <w:rPr>
          <w:rFonts w:cs="Times New Roman"/>
        </w:rPr>
        <w:t xml:space="preserve">, </w:t>
      </w:r>
      <w:r w:rsidRPr="000E7469">
        <w:rPr>
          <w:rFonts w:cs="Times New Roman"/>
        </w:rPr>
        <w:t>yet (5)</w:t>
      </w:r>
      <w:r w:rsidR="00BB5A83">
        <w:rPr>
          <w:rFonts w:cs="Times New Roman"/>
        </w:rPr>
        <w:t xml:space="preserve"> it is the only cognitive instrument used by </w:t>
      </w:r>
      <w:r w:rsidR="009A53A4">
        <w:rPr>
          <w:rFonts w:cs="Times New Roman"/>
        </w:rPr>
        <w:t>over half</w:t>
      </w:r>
      <w:r w:rsidR="00BB5A83">
        <w:rPr>
          <w:rFonts w:cs="Times New Roman"/>
        </w:rPr>
        <w:t xml:space="preserve"> of </w:t>
      </w:r>
      <w:r w:rsidR="00076A51">
        <w:rPr>
          <w:rFonts w:cs="Times New Roman"/>
        </w:rPr>
        <w:t>participating</w:t>
      </w:r>
      <w:r w:rsidR="00BB5A83">
        <w:rPr>
          <w:rFonts w:cs="Times New Roman"/>
        </w:rPr>
        <w:t xml:space="preserve"> nursing staff. </w:t>
      </w:r>
    </w:p>
    <w:p w14:paraId="5AAEF8CE" w14:textId="77777777" w:rsidR="000E0BF3" w:rsidRPr="00E816C9" w:rsidRDefault="000E0BF3" w:rsidP="000E0BF3">
      <w:pPr>
        <w:spacing w:line="480" w:lineRule="auto"/>
        <w:outlineLvl w:val="0"/>
        <w:rPr>
          <w:rFonts w:cs="Times New Roman"/>
          <w:b/>
        </w:rPr>
      </w:pPr>
      <w:r w:rsidRPr="00E816C9">
        <w:rPr>
          <w:rFonts w:cs="Times New Roman"/>
          <w:b/>
        </w:rPr>
        <w:t>Spousal caregivers</w:t>
      </w:r>
    </w:p>
    <w:p w14:paraId="058BD819" w14:textId="394C566D" w:rsidR="000E0BF3" w:rsidRPr="000E7469" w:rsidRDefault="00B83A93" w:rsidP="00076A51">
      <w:pPr>
        <w:spacing w:line="480" w:lineRule="auto"/>
        <w:ind w:firstLine="720"/>
        <w:rPr>
          <w:rFonts w:eastAsia="Times New Roman" w:cs="Times New Roman"/>
          <w:shd w:val="clear" w:color="auto" w:fill="FFFFFF"/>
        </w:rPr>
      </w:pPr>
      <w:r>
        <w:rPr>
          <w:rFonts w:cs="Times New Roman"/>
        </w:rPr>
        <w:t>More than</w:t>
      </w:r>
      <w:r w:rsidR="000E0BF3" w:rsidRPr="000E7469">
        <w:rPr>
          <w:rFonts w:cs="Times New Roman"/>
        </w:rPr>
        <w:t xml:space="preserve"> half of </w:t>
      </w:r>
      <w:r w:rsidR="000E0BF3">
        <w:rPr>
          <w:rFonts w:cs="Times New Roman"/>
        </w:rPr>
        <w:t>nursing staff</w:t>
      </w:r>
      <w:r w:rsidR="000E0BF3" w:rsidRPr="000E7469">
        <w:rPr>
          <w:rFonts w:cs="Times New Roman"/>
        </w:rPr>
        <w:t xml:space="preserve"> (52.0%) reported that</w:t>
      </w:r>
      <w:r w:rsidR="00076A51">
        <w:rPr>
          <w:rFonts w:cs="Times New Roman"/>
        </w:rPr>
        <w:t xml:space="preserve"> the spouse of</w:t>
      </w:r>
      <w:r w:rsidR="000E0BF3" w:rsidRPr="000E7469">
        <w:rPr>
          <w:rFonts w:cs="Times New Roman"/>
        </w:rPr>
        <w:t xml:space="preserve"> </w:t>
      </w:r>
      <w:r w:rsidR="000E0BF3" w:rsidRPr="000E7469">
        <w:rPr>
          <w:rFonts w:eastAsia="Times New Roman" w:cs="Times New Roman"/>
          <w:shd w:val="clear" w:color="auto" w:fill="FFFFFF"/>
        </w:rPr>
        <w:t xml:space="preserve">discharged nursing home residents </w:t>
      </w:r>
      <w:r w:rsidR="00076A51">
        <w:rPr>
          <w:rFonts w:eastAsia="Times New Roman" w:cs="Times New Roman"/>
          <w:shd w:val="clear" w:color="auto" w:fill="FFFFFF"/>
        </w:rPr>
        <w:t xml:space="preserve">is often </w:t>
      </w:r>
      <w:r w:rsidR="000E0BF3" w:rsidRPr="000E7469">
        <w:rPr>
          <w:rFonts w:eastAsia="Times New Roman" w:cs="Times New Roman"/>
          <w:shd w:val="clear" w:color="auto" w:fill="FFFFFF"/>
        </w:rPr>
        <w:t xml:space="preserve">in the role of caregiver. </w:t>
      </w:r>
      <w:r w:rsidR="00076A51">
        <w:rPr>
          <w:rFonts w:eastAsia="Times New Roman" w:cs="Times New Roman"/>
          <w:shd w:val="clear" w:color="auto" w:fill="FFFFFF"/>
        </w:rPr>
        <w:t>O</w:t>
      </w:r>
      <w:r w:rsidR="00076A51" w:rsidRPr="000E7469">
        <w:rPr>
          <w:rFonts w:eastAsia="Times New Roman" w:cs="Times New Roman"/>
          <w:shd w:val="clear" w:color="auto" w:fill="FFFFFF"/>
        </w:rPr>
        <w:t xml:space="preserve">nly 9% of </w:t>
      </w:r>
      <w:r w:rsidR="00076A51">
        <w:rPr>
          <w:rFonts w:eastAsia="Times New Roman" w:cs="Times New Roman"/>
          <w:shd w:val="clear" w:color="auto" w:fill="FFFFFF"/>
        </w:rPr>
        <w:t>nursing staff</w:t>
      </w:r>
      <w:r w:rsidR="00076A51" w:rsidRPr="000E7469">
        <w:rPr>
          <w:rFonts w:eastAsia="Times New Roman" w:cs="Times New Roman"/>
          <w:shd w:val="clear" w:color="auto" w:fill="FFFFFF"/>
        </w:rPr>
        <w:t xml:space="preserve"> rated </w:t>
      </w:r>
      <w:r w:rsidR="00076A51">
        <w:rPr>
          <w:rFonts w:eastAsia="Times New Roman" w:cs="Times New Roman"/>
          <w:shd w:val="clear" w:color="auto" w:fill="FFFFFF"/>
        </w:rPr>
        <w:t xml:space="preserve">spousal </w:t>
      </w:r>
      <w:r w:rsidR="00076A51" w:rsidRPr="000E7469">
        <w:rPr>
          <w:rFonts w:eastAsia="Times New Roman" w:cs="Times New Roman"/>
          <w:shd w:val="clear" w:color="auto" w:fill="FFFFFF"/>
        </w:rPr>
        <w:t xml:space="preserve">caregivers </w:t>
      </w:r>
      <w:r w:rsidR="00076A51">
        <w:rPr>
          <w:rFonts w:eastAsia="Times New Roman" w:cs="Times New Roman"/>
          <w:shd w:val="clear" w:color="auto" w:fill="FFFFFF"/>
        </w:rPr>
        <w:t>as</w:t>
      </w:r>
      <w:r w:rsidR="00076A51" w:rsidRPr="000E7469">
        <w:rPr>
          <w:rFonts w:eastAsia="Times New Roman" w:cs="Times New Roman"/>
          <w:shd w:val="clear" w:color="auto" w:fill="FFFFFF"/>
        </w:rPr>
        <w:t xml:space="preserve"> having an “accurate” understanding</w:t>
      </w:r>
      <w:r w:rsidR="00076A51">
        <w:rPr>
          <w:rFonts w:eastAsia="Times New Roman" w:cs="Times New Roman"/>
          <w:shd w:val="clear" w:color="auto" w:fill="FFFFFF"/>
        </w:rPr>
        <w:t xml:space="preserve"> o</w:t>
      </w:r>
      <w:r w:rsidR="000E0BF3" w:rsidRPr="000E7469">
        <w:rPr>
          <w:rFonts w:eastAsia="Times New Roman" w:cs="Times New Roman"/>
          <w:shd w:val="clear" w:color="auto" w:fill="FFFFFF"/>
        </w:rPr>
        <w:t xml:space="preserve">f the resident’s </w:t>
      </w:r>
      <w:r w:rsidR="000E0BF3" w:rsidRPr="000E7469">
        <w:rPr>
          <w:rFonts w:eastAsia="Times New Roman" w:cs="Times New Roman"/>
          <w:i/>
          <w:shd w:val="clear" w:color="auto" w:fill="FFFFFF"/>
        </w:rPr>
        <w:t>cognitive</w:t>
      </w:r>
      <w:r w:rsidR="00076A51">
        <w:rPr>
          <w:rFonts w:eastAsia="Times New Roman" w:cs="Times New Roman"/>
          <w:shd w:val="clear" w:color="auto" w:fill="FFFFFF"/>
        </w:rPr>
        <w:t xml:space="preserve"> functioning.</w:t>
      </w:r>
      <w:r w:rsidR="000E0BF3" w:rsidRPr="000E7469">
        <w:rPr>
          <w:rFonts w:eastAsia="Times New Roman" w:cs="Times New Roman"/>
          <w:shd w:val="clear" w:color="auto" w:fill="FFFFFF"/>
        </w:rPr>
        <w:t xml:space="preserve"> Similarly, </w:t>
      </w:r>
      <w:r w:rsidR="00076A51">
        <w:rPr>
          <w:rFonts w:eastAsia="Times New Roman" w:cs="Times New Roman"/>
          <w:shd w:val="clear" w:color="auto" w:fill="FFFFFF"/>
        </w:rPr>
        <w:t xml:space="preserve">only 9% of </w:t>
      </w:r>
      <w:r w:rsidR="000E0BF3">
        <w:rPr>
          <w:rFonts w:eastAsia="Times New Roman" w:cs="Times New Roman"/>
          <w:shd w:val="clear" w:color="auto" w:fill="FFFFFF"/>
        </w:rPr>
        <w:t>nursing staff</w:t>
      </w:r>
      <w:r w:rsidR="000E0BF3" w:rsidRPr="000E7469">
        <w:rPr>
          <w:rFonts w:eastAsia="Times New Roman" w:cs="Times New Roman"/>
          <w:shd w:val="clear" w:color="auto" w:fill="FFFFFF"/>
        </w:rPr>
        <w:t xml:space="preserve"> indicated that spousal caregivers </w:t>
      </w:r>
      <w:r w:rsidR="00076A51">
        <w:rPr>
          <w:rFonts w:eastAsia="Times New Roman" w:cs="Times New Roman"/>
          <w:shd w:val="clear" w:color="auto" w:fill="FFFFFF"/>
        </w:rPr>
        <w:t>often have</w:t>
      </w:r>
      <w:r w:rsidR="000E0BF3" w:rsidRPr="000E7469">
        <w:rPr>
          <w:rFonts w:eastAsia="Times New Roman" w:cs="Times New Roman"/>
          <w:shd w:val="clear" w:color="auto" w:fill="FFFFFF"/>
        </w:rPr>
        <w:t xml:space="preserve"> an accurate understanding of </w:t>
      </w:r>
      <w:r w:rsidR="00076A51">
        <w:rPr>
          <w:rFonts w:eastAsia="Times New Roman" w:cs="Times New Roman"/>
          <w:shd w:val="clear" w:color="auto" w:fill="FFFFFF"/>
        </w:rPr>
        <w:t>residents’</w:t>
      </w:r>
      <w:r w:rsidR="000E0BF3" w:rsidRPr="000E7469">
        <w:rPr>
          <w:rFonts w:eastAsia="Times New Roman" w:cs="Times New Roman"/>
          <w:shd w:val="clear" w:color="auto" w:fill="FFFFFF"/>
        </w:rPr>
        <w:t xml:space="preserve"> </w:t>
      </w:r>
      <w:r w:rsidR="000E0BF3" w:rsidRPr="000E7469">
        <w:rPr>
          <w:rFonts w:eastAsia="Times New Roman" w:cs="Times New Roman"/>
          <w:i/>
          <w:shd w:val="clear" w:color="auto" w:fill="FFFFFF"/>
        </w:rPr>
        <w:t>moo</w:t>
      </w:r>
      <w:r w:rsidR="00076A51">
        <w:rPr>
          <w:rFonts w:eastAsia="Times New Roman" w:cs="Times New Roman"/>
          <w:i/>
          <w:shd w:val="clear" w:color="auto" w:fill="FFFFFF"/>
        </w:rPr>
        <w:t xml:space="preserve">d </w:t>
      </w:r>
      <w:r w:rsidR="00076A51" w:rsidRPr="00076A51">
        <w:rPr>
          <w:rFonts w:eastAsia="Times New Roman" w:cs="Times New Roman"/>
          <w:shd w:val="clear" w:color="auto" w:fill="FFFFFF"/>
        </w:rPr>
        <w:t>functioning</w:t>
      </w:r>
      <w:r w:rsidR="00076A51">
        <w:rPr>
          <w:rFonts w:eastAsia="Times New Roman" w:cs="Times New Roman"/>
          <w:i/>
          <w:shd w:val="clear" w:color="auto" w:fill="FFFFFF"/>
        </w:rPr>
        <w:t xml:space="preserve">. </w:t>
      </w:r>
    </w:p>
    <w:p w14:paraId="3FB0CA15" w14:textId="409C5828" w:rsidR="00AE4585" w:rsidRDefault="000E0BF3" w:rsidP="000E0BF3">
      <w:pPr>
        <w:spacing w:line="480" w:lineRule="auto"/>
        <w:ind w:firstLine="720"/>
        <w:rPr>
          <w:rFonts w:eastAsia="Times New Roman" w:cs="Times New Roman"/>
          <w:shd w:val="clear" w:color="auto" w:fill="FFFFFF"/>
        </w:rPr>
      </w:pPr>
      <w:r w:rsidRPr="000E7469">
        <w:rPr>
          <w:rFonts w:eastAsia="Times New Roman" w:cs="Times New Roman"/>
          <w:shd w:val="clear" w:color="auto" w:fill="FFFFFF"/>
        </w:rPr>
        <w:t xml:space="preserve">Participating discharge planners estimated that more than half (51.3%) of residents’ spousal caregivers </w:t>
      </w:r>
      <w:r w:rsidR="00C47FE6">
        <w:rPr>
          <w:rFonts w:eastAsia="Times New Roman" w:cs="Times New Roman"/>
          <w:shd w:val="clear" w:color="auto" w:fill="FFFFFF"/>
        </w:rPr>
        <w:t>are at least somewhat cognitively impaired</w:t>
      </w:r>
      <w:r w:rsidRPr="000E7469">
        <w:rPr>
          <w:rFonts w:eastAsia="Times New Roman" w:cs="Times New Roman"/>
          <w:shd w:val="clear" w:color="auto" w:fill="FFFFFF"/>
        </w:rPr>
        <w:t xml:space="preserve">. Eighty-eight percent of </w:t>
      </w:r>
      <w:r>
        <w:rPr>
          <w:rFonts w:eastAsia="Times New Roman" w:cs="Times New Roman"/>
          <w:shd w:val="clear" w:color="auto" w:fill="FFFFFF"/>
        </w:rPr>
        <w:t>nursing</w:t>
      </w:r>
      <w:r w:rsidR="00F60422">
        <w:rPr>
          <w:rFonts w:eastAsia="Times New Roman" w:cs="Times New Roman"/>
          <w:shd w:val="clear" w:color="auto" w:fill="FFFFFF"/>
        </w:rPr>
        <w:t xml:space="preserve"> </w:t>
      </w:r>
      <w:r>
        <w:rPr>
          <w:rFonts w:eastAsia="Times New Roman" w:cs="Times New Roman"/>
          <w:shd w:val="clear" w:color="auto" w:fill="FFFFFF"/>
        </w:rPr>
        <w:lastRenderedPageBreak/>
        <w:t>staff</w:t>
      </w:r>
      <w:r w:rsidRPr="000E7469">
        <w:rPr>
          <w:rFonts w:eastAsia="Times New Roman" w:cs="Times New Roman"/>
          <w:shd w:val="clear" w:color="auto" w:fill="FFFFFF"/>
        </w:rPr>
        <w:t xml:space="preserve"> agreed that assessing the cognitive functioning of a patient's spousal caregiver, as part of the discharge planning, would improve the general nursing home discharge process for residents. </w:t>
      </w:r>
      <w:r w:rsidR="00F60422">
        <w:rPr>
          <w:rFonts w:eastAsia="Times New Roman" w:cs="Times New Roman"/>
          <w:shd w:val="clear" w:color="auto" w:fill="FFFFFF"/>
        </w:rPr>
        <w:t>N</w:t>
      </w:r>
      <w:r>
        <w:rPr>
          <w:rFonts w:eastAsia="Times New Roman" w:cs="Times New Roman"/>
          <w:shd w:val="clear" w:color="auto" w:fill="FFFFFF"/>
        </w:rPr>
        <w:t>ursing staff</w:t>
      </w:r>
      <w:r w:rsidRPr="000E7469">
        <w:rPr>
          <w:rFonts w:eastAsia="Times New Roman" w:cs="Times New Roman"/>
          <w:shd w:val="clear" w:color="auto" w:fill="FFFFFF"/>
        </w:rPr>
        <w:t xml:space="preserve"> agreed that cognitive assessment of spousal caregivers would improve discharged residents’ medication compliance</w:t>
      </w:r>
      <w:r w:rsidR="00F60422">
        <w:rPr>
          <w:rFonts w:eastAsia="Times New Roman" w:cs="Times New Roman"/>
          <w:shd w:val="clear" w:color="auto" w:fill="FFFFFF"/>
        </w:rPr>
        <w:t xml:space="preserve"> (72.0%)</w:t>
      </w:r>
      <w:r w:rsidRPr="000E7469">
        <w:rPr>
          <w:rFonts w:eastAsia="Times New Roman" w:cs="Times New Roman"/>
          <w:shd w:val="clear" w:color="auto" w:fill="FFFFFF"/>
        </w:rPr>
        <w:t xml:space="preserve"> and reduce the likelihood of unnecessary re-hospitalizations</w:t>
      </w:r>
      <w:r w:rsidR="00F60422">
        <w:rPr>
          <w:rFonts w:eastAsia="Times New Roman" w:cs="Times New Roman"/>
          <w:shd w:val="clear" w:color="auto" w:fill="FFFFFF"/>
        </w:rPr>
        <w:t xml:space="preserve"> (</w:t>
      </w:r>
      <w:r w:rsidR="00F60422" w:rsidRPr="000E7469">
        <w:rPr>
          <w:rFonts w:eastAsia="Times New Roman" w:cs="Times New Roman"/>
          <w:shd w:val="clear" w:color="auto" w:fill="FFFFFF"/>
        </w:rPr>
        <w:t>76.0%</w:t>
      </w:r>
      <w:r w:rsidR="00F60422">
        <w:rPr>
          <w:rFonts w:eastAsia="Times New Roman" w:cs="Times New Roman"/>
          <w:shd w:val="clear" w:color="auto" w:fill="FFFFFF"/>
        </w:rPr>
        <w:t>)</w:t>
      </w:r>
      <w:r w:rsidRPr="000E7469">
        <w:rPr>
          <w:rFonts w:eastAsia="Times New Roman" w:cs="Times New Roman"/>
          <w:shd w:val="clear" w:color="auto" w:fill="FFFFFF"/>
        </w:rPr>
        <w:t xml:space="preserve">. Nevertheless, </w:t>
      </w:r>
      <w:r w:rsidR="00485A0D">
        <w:rPr>
          <w:rFonts w:eastAsia="Times New Roman" w:cs="Times New Roman"/>
          <w:shd w:val="clear" w:color="auto" w:fill="FFFFFF"/>
        </w:rPr>
        <w:t xml:space="preserve">only 12% </w:t>
      </w:r>
      <w:r w:rsidRPr="000E7469">
        <w:rPr>
          <w:rFonts w:eastAsia="Times New Roman" w:cs="Times New Roman"/>
          <w:shd w:val="clear" w:color="auto" w:fill="FFFFFF"/>
        </w:rPr>
        <w:t xml:space="preserve">of </w:t>
      </w:r>
      <w:r>
        <w:rPr>
          <w:rFonts w:eastAsia="Times New Roman" w:cs="Times New Roman"/>
          <w:shd w:val="clear" w:color="auto" w:fill="FFFFFF"/>
        </w:rPr>
        <w:t>nursing staff</w:t>
      </w:r>
      <w:r w:rsidRPr="000E7469">
        <w:rPr>
          <w:rFonts w:eastAsia="Times New Roman" w:cs="Times New Roman"/>
          <w:shd w:val="clear" w:color="auto" w:fill="FFFFFF"/>
        </w:rPr>
        <w:t xml:space="preserve"> (or a member of their interdisciplinary team) formally</w:t>
      </w:r>
      <w:r w:rsidR="00B83A93">
        <w:rPr>
          <w:rFonts w:eastAsia="Times New Roman" w:cs="Times New Roman"/>
          <w:shd w:val="clear" w:color="auto" w:fill="FFFFFF"/>
        </w:rPr>
        <w:t xml:space="preserve"> assessed</w:t>
      </w:r>
      <w:r w:rsidRPr="000E7469">
        <w:rPr>
          <w:rFonts w:eastAsia="Times New Roman" w:cs="Times New Roman"/>
          <w:shd w:val="clear" w:color="auto" w:fill="FFFFFF"/>
        </w:rPr>
        <w:t xml:space="preserve"> the cognitive functioning of spousal caregivers</w:t>
      </w:r>
      <w:r w:rsidR="00485A0D">
        <w:rPr>
          <w:rFonts w:eastAsia="Times New Roman" w:cs="Times New Roman"/>
          <w:shd w:val="clear" w:color="auto" w:fill="FFFFFF"/>
        </w:rPr>
        <w:t xml:space="preserve"> using a validated cognitive instrument</w:t>
      </w:r>
      <w:r w:rsidRPr="000E7469">
        <w:rPr>
          <w:rFonts w:eastAsia="Times New Roman" w:cs="Times New Roman"/>
          <w:shd w:val="clear" w:color="auto" w:fill="FFFFFF"/>
        </w:rPr>
        <w:t>.</w:t>
      </w:r>
      <w:r>
        <w:rPr>
          <w:rFonts w:eastAsia="Times New Roman" w:cs="Times New Roman"/>
          <w:shd w:val="clear" w:color="auto" w:fill="FFFFFF"/>
        </w:rPr>
        <w:t xml:space="preserve"> </w:t>
      </w:r>
    </w:p>
    <w:p w14:paraId="0B2CADC4" w14:textId="0F394C44" w:rsidR="00AE4585" w:rsidRDefault="00AE4585" w:rsidP="00AE4585">
      <w:pPr>
        <w:spacing w:line="480" w:lineRule="auto"/>
        <w:ind w:firstLine="720"/>
        <w:rPr>
          <w:rFonts w:eastAsia="Times New Roman" w:cs="Times New Roman"/>
          <w:shd w:val="clear" w:color="auto" w:fill="FFFFFF"/>
        </w:rPr>
      </w:pPr>
      <w:r>
        <w:rPr>
          <w:rFonts w:eastAsia="Times New Roman" w:cs="Times New Roman"/>
          <w:shd w:val="clear" w:color="auto" w:fill="FFFFFF"/>
        </w:rPr>
        <w:t xml:space="preserve">Nursing staff may avoid cognitive assessments of spousal caregivers as part of the discharge planning process because they perceived caregivers to be reluctant to undergo such testing. </w:t>
      </w:r>
      <w:r w:rsidR="000E0BF3" w:rsidRPr="000E7469">
        <w:rPr>
          <w:rFonts w:eastAsia="Times New Roman" w:cs="Times New Roman"/>
          <w:shd w:val="clear" w:color="auto" w:fill="FFFFFF"/>
        </w:rPr>
        <w:t xml:space="preserve">Only 16% of </w:t>
      </w:r>
      <w:r w:rsidR="000E0BF3">
        <w:rPr>
          <w:rFonts w:eastAsia="Times New Roman" w:cs="Times New Roman"/>
          <w:shd w:val="clear" w:color="auto" w:fill="FFFFFF"/>
        </w:rPr>
        <w:t>nursing staff</w:t>
      </w:r>
      <w:r w:rsidR="000E0BF3" w:rsidRPr="000E7469">
        <w:rPr>
          <w:rFonts w:eastAsia="Times New Roman" w:cs="Times New Roman"/>
          <w:shd w:val="clear" w:color="auto" w:fill="FFFFFF"/>
        </w:rPr>
        <w:t xml:space="preserve"> predicted that spousal caregivers would be willing to</w:t>
      </w:r>
      <w:r>
        <w:rPr>
          <w:rFonts w:eastAsia="Times New Roman" w:cs="Times New Roman"/>
          <w:shd w:val="clear" w:color="auto" w:fill="FFFFFF"/>
        </w:rPr>
        <w:t xml:space="preserve"> participate in an assessment of their own cognitive functioning to inform discharge planning, </w:t>
      </w:r>
      <w:r w:rsidR="000E0BF3" w:rsidRPr="000E7469">
        <w:rPr>
          <w:rFonts w:eastAsia="Times New Roman" w:cs="Times New Roman"/>
          <w:shd w:val="clear" w:color="auto" w:fill="FFFFFF"/>
        </w:rPr>
        <w:t xml:space="preserve">with 36% indicating that they “might or might not.” </w:t>
      </w:r>
      <w:r>
        <w:rPr>
          <w:rFonts w:eastAsia="Times New Roman" w:cs="Times New Roman"/>
          <w:shd w:val="clear" w:color="auto" w:fill="FFFFFF"/>
        </w:rPr>
        <w:t xml:space="preserve">A slightly higher number of participants (20%) indicated that spousal caretakers might be open to receiving a self-assessment measure of cognitive functioning, although 40% were undecided. </w:t>
      </w:r>
    </w:p>
    <w:p w14:paraId="20F910E2" w14:textId="6636C007" w:rsidR="000E0BF3" w:rsidRDefault="000E0BF3" w:rsidP="000E0BF3">
      <w:pPr>
        <w:spacing w:line="480" w:lineRule="auto"/>
        <w:ind w:firstLine="720"/>
        <w:rPr>
          <w:rFonts w:eastAsia="Times New Roman" w:cs="Times New Roman"/>
          <w:shd w:val="clear" w:color="auto" w:fill="FFFFFF"/>
        </w:rPr>
      </w:pPr>
      <w:r w:rsidRPr="000E7469">
        <w:rPr>
          <w:rFonts w:cs="Times New Roman"/>
        </w:rPr>
        <w:t xml:space="preserve">Finally, </w:t>
      </w:r>
      <w:r>
        <w:rPr>
          <w:rFonts w:cs="Times New Roman"/>
        </w:rPr>
        <w:t>nursing staff</w:t>
      </w:r>
      <w:r w:rsidRPr="000E7469">
        <w:rPr>
          <w:rFonts w:cs="Times New Roman"/>
        </w:rPr>
        <w:t xml:space="preserve"> were </w:t>
      </w:r>
      <w:r w:rsidR="00AE4585">
        <w:rPr>
          <w:rFonts w:cs="Times New Roman"/>
        </w:rPr>
        <w:t>asked to respond to</w:t>
      </w:r>
      <w:r w:rsidRPr="000E7469">
        <w:rPr>
          <w:rFonts w:cs="Times New Roman"/>
        </w:rPr>
        <w:t xml:space="preserve"> the following scenario </w:t>
      </w:r>
      <w:r w:rsidR="00AE4585">
        <w:rPr>
          <w:rFonts w:cs="Times New Roman"/>
        </w:rPr>
        <w:t xml:space="preserve">designed </w:t>
      </w:r>
      <w:r w:rsidRPr="000E7469">
        <w:rPr>
          <w:rFonts w:cs="Times New Roman"/>
        </w:rPr>
        <w:t xml:space="preserve">to further </w:t>
      </w:r>
      <w:r w:rsidR="00AE4585">
        <w:rPr>
          <w:rFonts w:cs="Times New Roman"/>
        </w:rPr>
        <w:t xml:space="preserve">investigate </w:t>
      </w:r>
      <w:r w:rsidRPr="000E7469">
        <w:rPr>
          <w:rFonts w:cs="Times New Roman"/>
        </w:rPr>
        <w:t xml:space="preserve">the importance of cognitive assessment of spousal caregivers </w:t>
      </w:r>
      <w:r w:rsidR="00AE4585">
        <w:rPr>
          <w:rFonts w:cs="Times New Roman"/>
        </w:rPr>
        <w:t>to</w:t>
      </w:r>
      <w:r w:rsidRPr="000E7469">
        <w:rPr>
          <w:rFonts w:cs="Times New Roman"/>
        </w:rPr>
        <w:t xml:space="preserve"> the nursing home discharge process</w:t>
      </w:r>
      <w:r w:rsidRPr="000E7469">
        <w:rPr>
          <w:rFonts w:eastAsia="Times New Roman" w:cs="Times New Roman"/>
          <w:shd w:val="clear" w:color="auto" w:fill="FFFFFF"/>
        </w:rPr>
        <w:t xml:space="preserve">: </w:t>
      </w:r>
      <w:r w:rsidRPr="000E7469">
        <w:rPr>
          <w:rFonts w:cs="Times New Roman"/>
          <w:i/>
        </w:rPr>
        <w:t>“</w:t>
      </w:r>
      <w:r w:rsidRPr="000E7469">
        <w:rPr>
          <w:rFonts w:eastAsia="Times New Roman" w:cs="Times New Roman"/>
          <w:i/>
          <w:shd w:val="clear" w:color="auto" w:fill="FFFFFF"/>
        </w:rPr>
        <w:t xml:space="preserve">Suppose you are discharging a </w:t>
      </w:r>
      <w:proofErr w:type="spellStart"/>
      <w:r w:rsidRPr="000E7469">
        <w:rPr>
          <w:rFonts w:eastAsia="Times New Roman" w:cs="Times New Roman"/>
          <w:i/>
          <w:shd w:val="clear" w:color="auto" w:fill="FFFFFF"/>
        </w:rPr>
        <w:t>subacute</w:t>
      </w:r>
      <w:proofErr w:type="spellEnd"/>
      <w:r w:rsidRPr="000E7469">
        <w:rPr>
          <w:rFonts w:eastAsia="Times New Roman" w:cs="Times New Roman"/>
          <w:i/>
          <w:shd w:val="clear" w:color="auto" w:fill="FFFFFF"/>
        </w:rPr>
        <w:t xml:space="preserve"> resident to her home in the community. She has cognitive impairment and a caregiver who is aged 65 or older.”</w:t>
      </w:r>
      <w:r>
        <w:rPr>
          <w:rFonts w:eastAsia="Times New Roman" w:cs="Times New Roman"/>
          <w:i/>
          <w:shd w:val="clear" w:color="auto" w:fill="FFFFFF"/>
        </w:rPr>
        <w:t xml:space="preserve"> </w:t>
      </w:r>
      <w:r w:rsidRPr="000E7469">
        <w:rPr>
          <w:rFonts w:eastAsia="Times New Roman" w:cs="Times New Roman"/>
          <w:shd w:val="clear" w:color="auto" w:fill="FFFFFF"/>
        </w:rPr>
        <w:t xml:space="preserve">All discharge planners endorsed the importance of knowing the spousal caregiver’s cognitive status as part of discharge planning. Seventy-six percent of </w:t>
      </w:r>
      <w:r>
        <w:rPr>
          <w:rFonts w:eastAsia="Times New Roman" w:cs="Times New Roman"/>
          <w:shd w:val="clear" w:color="auto" w:fill="FFFFFF"/>
        </w:rPr>
        <w:t>nursing staff</w:t>
      </w:r>
      <w:r w:rsidRPr="000E7469">
        <w:rPr>
          <w:rFonts w:eastAsia="Times New Roman" w:cs="Times New Roman"/>
          <w:shd w:val="clear" w:color="auto" w:fill="FFFFFF"/>
        </w:rPr>
        <w:t xml:space="preserve"> rated the priority of thi</w:t>
      </w:r>
      <w:r w:rsidR="006C306F">
        <w:rPr>
          <w:rFonts w:eastAsia="Times New Roman" w:cs="Times New Roman"/>
          <w:shd w:val="clear" w:color="auto" w:fill="FFFFFF"/>
        </w:rPr>
        <w:t xml:space="preserve">s knowledge as very important and </w:t>
      </w:r>
      <w:r w:rsidR="00B83A93">
        <w:rPr>
          <w:rFonts w:eastAsia="Times New Roman" w:cs="Times New Roman"/>
          <w:shd w:val="clear" w:color="auto" w:fill="FFFFFF"/>
        </w:rPr>
        <w:t>24</w:t>
      </w:r>
      <w:r w:rsidRPr="000E7469">
        <w:rPr>
          <w:rFonts w:eastAsia="Times New Roman" w:cs="Times New Roman"/>
          <w:shd w:val="clear" w:color="auto" w:fill="FFFFFF"/>
        </w:rPr>
        <w:t>%</w:t>
      </w:r>
      <w:r w:rsidR="006C306F">
        <w:rPr>
          <w:rFonts w:eastAsia="Times New Roman" w:cs="Times New Roman"/>
          <w:shd w:val="clear" w:color="auto" w:fill="FFFFFF"/>
        </w:rPr>
        <w:t xml:space="preserve"> rated it as </w:t>
      </w:r>
      <w:r w:rsidRPr="000E7469">
        <w:rPr>
          <w:rFonts w:eastAsia="Times New Roman" w:cs="Times New Roman"/>
          <w:shd w:val="clear" w:color="auto" w:fill="FFFFFF"/>
        </w:rPr>
        <w:t>moderate</w:t>
      </w:r>
      <w:r w:rsidR="006C306F">
        <w:rPr>
          <w:rFonts w:eastAsia="Times New Roman" w:cs="Times New Roman"/>
          <w:shd w:val="clear" w:color="auto" w:fill="FFFFFF"/>
        </w:rPr>
        <w:t>ly</w:t>
      </w:r>
      <w:r w:rsidRPr="000E7469">
        <w:rPr>
          <w:rFonts w:eastAsia="Times New Roman" w:cs="Times New Roman"/>
          <w:shd w:val="clear" w:color="auto" w:fill="FFFFFF"/>
        </w:rPr>
        <w:t xml:space="preserve"> </w:t>
      </w:r>
      <w:r w:rsidR="006C306F">
        <w:rPr>
          <w:rFonts w:eastAsia="Times New Roman" w:cs="Times New Roman"/>
          <w:shd w:val="clear" w:color="auto" w:fill="FFFFFF"/>
        </w:rPr>
        <w:t>important</w:t>
      </w:r>
      <w:r w:rsidRPr="000E7469">
        <w:rPr>
          <w:rFonts w:eastAsia="Times New Roman" w:cs="Times New Roman"/>
          <w:shd w:val="clear" w:color="auto" w:fill="FFFFFF"/>
        </w:rPr>
        <w:t xml:space="preserve">. Most </w:t>
      </w:r>
      <w:r>
        <w:rPr>
          <w:rFonts w:eastAsia="Times New Roman" w:cs="Times New Roman"/>
          <w:shd w:val="clear" w:color="auto" w:fill="FFFFFF"/>
        </w:rPr>
        <w:t>nursing staff</w:t>
      </w:r>
      <w:r w:rsidR="00B83A93">
        <w:rPr>
          <w:rFonts w:eastAsia="Times New Roman" w:cs="Times New Roman"/>
          <w:shd w:val="clear" w:color="auto" w:fill="FFFFFF"/>
        </w:rPr>
        <w:t xml:space="preserve"> (92</w:t>
      </w:r>
      <w:r w:rsidRPr="000E7469">
        <w:rPr>
          <w:rFonts w:eastAsia="Times New Roman" w:cs="Times New Roman"/>
          <w:shd w:val="clear" w:color="auto" w:fill="FFFFFF"/>
        </w:rPr>
        <w:t>%) agreed that</w:t>
      </w:r>
      <w:r w:rsidR="006768A1">
        <w:rPr>
          <w:rFonts w:eastAsia="Times New Roman" w:cs="Times New Roman"/>
          <w:shd w:val="clear" w:color="auto" w:fill="FFFFFF"/>
        </w:rPr>
        <w:t xml:space="preserve"> having a fuller understanding of the caregiver’s cognitive abilities would improve the potential success of the discharge plan.</w:t>
      </w:r>
    </w:p>
    <w:p w14:paraId="41A99B7A" w14:textId="0077C940" w:rsidR="000E0BF3" w:rsidRPr="0091747F" w:rsidRDefault="00FF776F" w:rsidP="0091747F">
      <w:pPr>
        <w:spacing w:line="480" w:lineRule="auto"/>
        <w:ind w:firstLine="720"/>
      </w:pPr>
      <w:r>
        <w:lastRenderedPageBreak/>
        <w:t xml:space="preserve">In summary, discharge planners reported that: (1) spousal caregivers often have limited insight into the current cognitive and mood functioning of discharging nursing home residents; (2) approximately half of the spousal caregivers of cognitively impaired </w:t>
      </w:r>
      <w:r w:rsidRPr="000E7469">
        <w:rPr>
          <w:rFonts w:cs="Times New Roman"/>
        </w:rPr>
        <w:t xml:space="preserve">discharging nursing home residents </w:t>
      </w:r>
      <w:r>
        <w:rPr>
          <w:rFonts w:cs="Times New Roman"/>
        </w:rPr>
        <w:t>are also cognitively impaired themselves</w:t>
      </w:r>
      <w:r>
        <w:t xml:space="preserve">; (3) </w:t>
      </w:r>
      <w:r w:rsidR="00154602">
        <w:t>nursing staff</w:t>
      </w:r>
      <w:r>
        <w:t xml:space="preserve"> rarely conduct a formal assessment of spousal caregivers’ cognitive functioning as part of the discharge </w:t>
      </w:r>
      <w:r w:rsidR="00154602">
        <w:t xml:space="preserve">planning </w:t>
      </w:r>
      <w:r>
        <w:t xml:space="preserve">processes; (5) possibly because they perceive spousal caregivers as unwilling to participate in cognitive testing, (6) </w:t>
      </w:r>
      <w:r w:rsidR="00154602">
        <w:t>nursing staff</w:t>
      </w:r>
      <w:r>
        <w:t xml:space="preserve"> view </w:t>
      </w:r>
      <w:r w:rsidRPr="000E7469">
        <w:rPr>
          <w:rFonts w:eastAsia="Times New Roman" w:cs="Times New Roman"/>
          <w:shd w:val="clear" w:color="auto" w:fill="FFFFFF"/>
        </w:rPr>
        <w:t>spousal caregiver’s cognitive status</w:t>
      </w:r>
      <w:r>
        <w:rPr>
          <w:rFonts w:eastAsia="Times New Roman" w:cs="Times New Roman"/>
          <w:shd w:val="clear" w:color="auto" w:fill="FFFFFF"/>
        </w:rPr>
        <w:t xml:space="preserve"> as a vital</w:t>
      </w:r>
      <w:r w:rsidRPr="000E7469">
        <w:rPr>
          <w:rFonts w:eastAsia="Times New Roman" w:cs="Times New Roman"/>
          <w:shd w:val="clear" w:color="auto" w:fill="FFFFFF"/>
        </w:rPr>
        <w:t xml:space="preserve"> as part of discharge </w:t>
      </w:r>
      <w:r>
        <w:rPr>
          <w:rFonts w:eastAsia="Times New Roman" w:cs="Times New Roman"/>
          <w:shd w:val="clear" w:color="auto" w:fill="FFFFFF"/>
        </w:rPr>
        <w:t>planning, particularly for residents with cognitive impairment.</w:t>
      </w:r>
    </w:p>
    <w:p w14:paraId="027D055E" w14:textId="20BCA199" w:rsidR="00EE1169" w:rsidRPr="000F35B9" w:rsidRDefault="00DF60F5" w:rsidP="000F35B9">
      <w:pPr>
        <w:spacing w:line="480" w:lineRule="auto"/>
        <w:jc w:val="center"/>
        <w:outlineLvl w:val="0"/>
        <w:rPr>
          <w:rFonts w:cs="Times New Roman"/>
          <w:b/>
        </w:rPr>
      </w:pPr>
      <w:r w:rsidRPr="000F35B9">
        <w:rPr>
          <w:rFonts w:cs="Times New Roman"/>
          <w:b/>
        </w:rPr>
        <w:t>Discussion</w:t>
      </w:r>
    </w:p>
    <w:p w14:paraId="76678AAD" w14:textId="44790AC3" w:rsidR="00022D33" w:rsidRPr="000E7469" w:rsidRDefault="007817BD" w:rsidP="000E7469">
      <w:pPr>
        <w:spacing w:line="480" w:lineRule="auto"/>
        <w:rPr>
          <w:rFonts w:cs="Times New Roman"/>
        </w:rPr>
      </w:pPr>
      <w:r w:rsidRPr="000E7469">
        <w:rPr>
          <w:rFonts w:cs="Times New Roman"/>
        </w:rPr>
        <w:tab/>
        <w:t>Improving transitions in care has become a galvanizing for</w:t>
      </w:r>
      <w:r w:rsidR="00EA1C07" w:rsidRPr="000E7469">
        <w:rPr>
          <w:rFonts w:cs="Times New Roman"/>
        </w:rPr>
        <w:t>c</w:t>
      </w:r>
      <w:r w:rsidRPr="000E7469">
        <w:rPr>
          <w:rFonts w:cs="Times New Roman"/>
        </w:rPr>
        <w:t>e in the U.S. healthcare system.</w:t>
      </w:r>
      <w:r w:rsidR="007F0216" w:rsidRPr="000E7469">
        <w:rPr>
          <w:rFonts w:cs="Times New Roman"/>
        </w:rPr>
        <w:t xml:space="preserve"> </w:t>
      </w:r>
      <w:r w:rsidRPr="000E7469">
        <w:rPr>
          <w:rFonts w:cs="Times New Roman"/>
        </w:rPr>
        <w:t xml:space="preserve">Stakeholders in both the public and private sectors have increasingly focused efforts </w:t>
      </w:r>
      <w:r w:rsidR="00EF00A1" w:rsidRPr="000E7469">
        <w:rPr>
          <w:rFonts w:cs="Times New Roman"/>
        </w:rPr>
        <w:t>toward</w:t>
      </w:r>
      <w:r w:rsidRPr="000E7469">
        <w:rPr>
          <w:rFonts w:cs="Times New Roman"/>
        </w:rPr>
        <w:t xml:space="preserve"> improving the processes underlying these transitions with the goal of reducing</w:t>
      </w:r>
      <w:r w:rsidR="00EF00A1" w:rsidRPr="000E7469">
        <w:rPr>
          <w:rFonts w:cs="Times New Roman"/>
        </w:rPr>
        <w:t xml:space="preserve"> adverse </w:t>
      </w:r>
      <w:r w:rsidRPr="000E7469">
        <w:rPr>
          <w:rFonts w:cs="Times New Roman"/>
        </w:rPr>
        <w:t>post</w:t>
      </w:r>
      <w:r w:rsidR="00EF00A1" w:rsidRPr="000E7469">
        <w:rPr>
          <w:rFonts w:cs="Times New Roman"/>
        </w:rPr>
        <w:t>-</w:t>
      </w:r>
      <w:r w:rsidRPr="000E7469">
        <w:rPr>
          <w:rFonts w:cs="Times New Roman"/>
        </w:rPr>
        <w:t xml:space="preserve">discharge </w:t>
      </w:r>
      <w:r w:rsidR="00EF00A1" w:rsidRPr="000E7469">
        <w:rPr>
          <w:rFonts w:cs="Times New Roman"/>
        </w:rPr>
        <w:t>outcomes</w:t>
      </w:r>
      <w:r w:rsidRPr="000E7469">
        <w:rPr>
          <w:rFonts w:cs="Times New Roman"/>
        </w:rPr>
        <w:t xml:space="preserve"> for patients.</w:t>
      </w:r>
      <w:r w:rsidR="007F0216" w:rsidRPr="000E7469">
        <w:rPr>
          <w:rFonts w:cs="Times New Roman"/>
        </w:rPr>
        <w:t xml:space="preserve"> </w:t>
      </w:r>
      <w:r w:rsidRPr="000E7469">
        <w:rPr>
          <w:rFonts w:cs="Times New Roman"/>
        </w:rPr>
        <w:t>This goal is both care-</w:t>
      </w:r>
      <w:r w:rsidR="005F009B">
        <w:rPr>
          <w:rFonts w:cs="Times New Roman"/>
        </w:rPr>
        <w:t xml:space="preserve"> and financially-</w:t>
      </w:r>
      <w:r w:rsidRPr="000E7469">
        <w:rPr>
          <w:rFonts w:cs="Times New Roman"/>
        </w:rPr>
        <w:t>based.</w:t>
      </w:r>
      <w:r w:rsidR="007F0216" w:rsidRPr="000E7469">
        <w:rPr>
          <w:rFonts w:cs="Times New Roman"/>
        </w:rPr>
        <w:t xml:space="preserve"> </w:t>
      </w:r>
      <w:r w:rsidR="00EA1C07" w:rsidRPr="000E7469">
        <w:rPr>
          <w:rFonts w:cs="Times New Roman"/>
        </w:rPr>
        <w:t>With respect to the latter, under the Patient and Protection and Affordable Care Act</w:t>
      </w:r>
      <w:proofErr w:type="gramStart"/>
      <w:r w:rsidR="007F0216" w:rsidRPr="000E7469">
        <w:rPr>
          <w:rFonts w:cs="Times New Roman"/>
        </w:rPr>
        <w:t>,</w:t>
      </w:r>
      <w:r w:rsidR="00EA1C07" w:rsidRPr="000E7469">
        <w:rPr>
          <w:rFonts w:cs="Times New Roman"/>
          <w:vertAlign w:val="superscript"/>
        </w:rPr>
        <w:t>8</w:t>
      </w:r>
      <w:proofErr w:type="gramEnd"/>
      <w:r w:rsidR="00EA1C07" w:rsidRPr="000E7469">
        <w:rPr>
          <w:rFonts w:cs="Times New Roman"/>
        </w:rPr>
        <w:t xml:space="preserve"> hospitals currently face financial penalties associated with unacceptable high readmission rates for Medicare and Medicaid patients. Of course</w:t>
      </w:r>
      <w:r w:rsidR="00C4646A" w:rsidRPr="000E7469">
        <w:rPr>
          <w:rFonts w:cs="Times New Roman"/>
        </w:rPr>
        <w:t>,</w:t>
      </w:r>
      <w:r w:rsidR="00EA1C07" w:rsidRPr="000E7469">
        <w:rPr>
          <w:rFonts w:cs="Times New Roman"/>
        </w:rPr>
        <w:t xml:space="preserve"> hospital</w:t>
      </w:r>
      <w:r w:rsidR="006B5FE8" w:rsidRPr="000E7469">
        <w:rPr>
          <w:rFonts w:cs="Times New Roman"/>
        </w:rPr>
        <w:t xml:space="preserve"> readmissions are</w:t>
      </w:r>
      <w:r w:rsidR="00EA1C07" w:rsidRPr="000E7469">
        <w:rPr>
          <w:rFonts w:cs="Times New Roman"/>
        </w:rPr>
        <w:t xml:space="preserve"> just one of several important adverse events that have been associated with poor transitions in care. </w:t>
      </w:r>
    </w:p>
    <w:p w14:paraId="7DBF2198" w14:textId="2185102E" w:rsidR="00EA1C07" w:rsidRPr="000E7469" w:rsidRDefault="00DC3834" w:rsidP="000E7469">
      <w:pPr>
        <w:spacing w:line="480" w:lineRule="auto"/>
        <w:rPr>
          <w:rFonts w:cs="Times New Roman"/>
        </w:rPr>
      </w:pPr>
      <w:r w:rsidRPr="000E7469">
        <w:rPr>
          <w:rFonts w:cs="Times New Roman"/>
        </w:rPr>
        <w:tab/>
        <w:t>The current study was designed to help establish best practices in transitioning patients from hospital to nursing homes, and again, from nursing homes to community living situations. Based on an online survey completed by staff from 38 Mary</w:t>
      </w:r>
      <w:r w:rsidR="00511B10">
        <w:rPr>
          <w:rFonts w:cs="Times New Roman"/>
        </w:rPr>
        <w:t>land nursing homes, we offer seven</w:t>
      </w:r>
      <w:r w:rsidRPr="000E7469">
        <w:rPr>
          <w:rFonts w:cs="Times New Roman"/>
        </w:rPr>
        <w:t xml:space="preserve"> recommendations that can provide a foundation for improving these transitions in Maryland</w:t>
      </w:r>
      <w:r w:rsidR="00855B09">
        <w:rPr>
          <w:rFonts w:cs="Times New Roman"/>
        </w:rPr>
        <w:t xml:space="preserve"> (Appendix 2)</w:t>
      </w:r>
      <w:r w:rsidRPr="000E7469">
        <w:rPr>
          <w:rFonts w:cs="Times New Roman"/>
        </w:rPr>
        <w:t>.</w:t>
      </w:r>
    </w:p>
    <w:p w14:paraId="00A9B7C4" w14:textId="7C650876" w:rsidR="004A6352" w:rsidRPr="000E78EE" w:rsidRDefault="000D275A" w:rsidP="000E7469">
      <w:pPr>
        <w:spacing w:line="480" w:lineRule="auto"/>
        <w:rPr>
          <w:rFonts w:cs="Times New Roman"/>
          <w:b/>
        </w:rPr>
      </w:pPr>
      <w:r w:rsidRPr="000E7469">
        <w:rPr>
          <w:rFonts w:cs="Times New Roman"/>
          <w:b/>
        </w:rPr>
        <w:lastRenderedPageBreak/>
        <w:t xml:space="preserve">Recommendation #1: </w:t>
      </w:r>
      <w:r w:rsidR="00C4742C">
        <w:rPr>
          <w:rFonts w:cs="Times New Roman"/>
          <w:b/>
        </w:rPr>
        <w:t>Core transition r</w:t>
      </w:r>
      <w:r w:rsidR="004A6352" w:rsidRPr="000E7469">
        <w:rPr>
          <w:rFonts w:cs="Times New Roman"/>
          <w:b/>
        </w:rPr>
        <w:t>ecord</w:t>
      </w:r>
      <w:r w:rsidR="00B417BC" w:rsidRPr="000E7469">
        <w:rPr>
          <w:rFonts w:cs="Times New Roman"/>
          <w:b/>
        </w:rPr>
        <w:t>s</w:t>
      </w:r>
      <w:r w:rsidR="00C4742C">
        <w:rPr>
          <w:rFonts w:cs="Times New Roman"/>
          <w:b/>
        </w:rPr>
        <w:t xml:space="preserve"> should be t</w:t>
      </w:r>
      <w:r w:rsidR="004A6352" w:rsidRPr="000E7469">
        <w:rPr>
          <w:rFonts w:cs="Times New Roman"/>
          <w:b/>
        </w:rPr>
        <w:t xml:space="preserve">ransferred </w:t>
      </w:r>
      <w:r w:rsidR="00C4742C" w:rsidRPr="00C4742C">
        <w:rPr>
          <w:rFonts w:cs="Times New Roman"/>
          <w:b/>
          <w:u w:val="single"/>
        </w:rPr>
        <w:t>p</w:t>
      </w:r>
      <w:r w:rsidR="004A6352" w:rsidRPr="00C4742C">
        <w:rPr>
          <w:rFonts w:cs="Times New Roman"/>
          <w:b/>
          <w:u w:val="single"/>
        </w:rPr>
        <w:t>rior</w:t>
      </w:r>
      <w:r w:rsidR="00C4742C">
        <w:rPr>
          <w:rFonts w:cs="Times New Roman"/>
          <w:b/>
        </w:rPr>
        <w:t xml:space="preserve"> to nursing home a</w:t>
      </w:r>
      <w:r w:rsidR="004A6352" w:rsidRPr="000E7469">
        <w:rPr>
          <w:rFonts w:cs="Times New Roman"/>
          <w:b/>
        </w:rPr>
        <w:t>dmission</w:t>
      </w:r>
      <w:r w:rsidR="00B417BC" w:rsidRPr="000E7469">
        <w:rPr>
          <w:rFonts w:cs="Times New Roman"/>
          <w:b/>
        </w:rPr>
        <w:t>s</w:t>
      </w:r>
    </w:p>
    <w:p w14:paraId="0D7FFEF8" w14:textId="1407B961" w:rsidR="000E652E" w:rsidRPr="000E7469" w:rsidRDefault="004A6352" w:rsidP="000E7469">
      <w:pPr>
        <w:spacing w:line="480" w:lineRule="auto"/>
        <w:ind w:firstLine="720"/>
        <w:rPr>
          <w:rFonts w:cs="Times New Roman"/>
        </w:rPr>
      </w:pPr>
      <w:r w:rsidRPr="000E7469">
        <w:rPr>
          <w:rFonts w:cs="Times New Roman"/>
        </w:rPr>
        <w:t xml:space="preserve">In our study, </w:t>
      </w:r>
      <w:r w:rsidR="002338E3">
        <w:rPr>
          <w:rFonts w:cs="Times New Roman"/>
        </w:rPr>
        <w:t>participants</w:t>
      </w:r>
      <w:r w:rsidRPr="000E7469">
        <w:rPr>
          <w:rFonts w:cs="Times New Roman"/>
        </w:rPr>
        <w:t xml:space="preserve"> were asked to indicate when they typically receive transfer/discharge summaries from the </w:t>
      </w:r>
      <w:r w:rsidR="00B417BC" w:rsidRPr="000E7469">
        <w:rPr>
          <w:rFonts w:cs="Times New Roman"/>
        </w:rPr>
        <w:t>referring</w:t>
      </w:r>
      <w:r w:rsidRPr="000E7469">
        <w:rPr>
          <w:rFonts w:cs="Times New Roman"/>
        </w:rPr>
        <w:t xml:space="preserve"> hospital.</w:t>
      </w:r>
      <w:r w:rsidR="007F0216" w:rsidRPr="000E7469">
        <w:rPr>
          <w:rFonts w:cs="Times New Roman"/>
        </w:rPr>
        <w:t xml:space="preserve"> </w:t>
      </w:r>
      <w:r w:rsidR="00C4742C">
        <w:rPr>
          <w:rFonts w:cs="Times New Roman"/>
        </w:rPr>
        <w:t xml:space="preserve">Participants indicated that </w:t>
      </w:r>
      <w:r w:rsidR="00B417BC" w:rsidRPr="000E7469">
        <w:rPr>
          <w:rFonts w:cs="Times New Roman"/>
        </w:rPr>
        <w:t>nursing homes receive discharge information prior to the patient’s arrival</w:t>
      </w:r>
      <w:r w:rsidR="00C4742C">
        <w:rPr>
          <w:rFonts w:cs="Times New Roman"/>
        </w:rPr>
        <w:t xml:space="preserve"> only </w:t>
      </w:r>
      <w:r w:rsidR="00C4742C" w:rsidRPr="000E7469">
        <w:rPr>
          <w:rFonts w:cs="Times New Roman"/>
        </w:rPr>
        <w:t>46% of the time</w:t>
      </w:r>
      <w:r w:rsidR="00B417BC" w:rsidRPr="000E7469">
        <w:rPr>
          <w:rFonts w:cs="Times New Roman"/>
        </w:rPr>
        <w:t>.</w:t>
      </w:r>
      <w:r w:rsidR="007F0216" w:rsidRPr="000E7469">
        <w:rPr>
          <w:rFonts w:cs="Times New Roman"/>
        </w:rPr>
        <w:t xml:space="preserve"> </w:t>
      </w:r>
      <w:r w:rsidR="00B417BC" w:rsidRPr="000E7469">
        <w:rPr>
          <w:rFonts w:cs="Times New Roman"/>
        </w:rPr>
        <w:t xml:space="preserve">This </w:t>
      </w:r>
      <w:r w:rsidR="00C4742C">
        <w:rPr>
          <w:rFonts w:cs="Times New Roman"/>
        </w:rPr>
        <w:t>allows</w:t>
      </w:r>
      <w:r w:rsidR="00B417BC" w:rsidRPr="000E7469">
        <w:rPr>
          <w:rFonts w:cs="Times New Roman"/>
        </w:rPr>
        <w:t xml:space="preserve"> </w:t>
      </w:r>
      <w:r w:rsidR="007414D0" w:rsidRPr="000E7469">
        <w:rPr>
          <w:rFonts w:cs="Times New Roman"/>
        </w:rPr>
        <w:t>limited</w:t>
      </w:r>
      <w:r w:rsidR="00B417BC" w:rsidRPr="000E7469">
        <w:rPr>
          <w:rFonts w:cs="Times New Roman"/>
        </w:rPr>
        <w:t xml:space="preserve"> </w:t>
      </w:r>
      <w:r w:rsidR="00C4742C">
        <w:rPr>
          <w:rFonts w:cs="Times New Roman"/>
        </w:rPr>
        <w:t>opportunity</w:t>
      </w:r>
      <w:r w:rsidR="00B417BC" w:rsidRPr="000E7469">
        <w:rPr>
          <w:rFonts w:cs="Times New Roman"/>
        </w:rPr>
        <w:t xml:space="preserve"> for the nursing home to adequately prepare to meet the individual needs of their new resident.</w:t>
      </w:r>
      <w:r w:rsidR="007F0216" w:rsidRPr="000E7469">
        <w:rPr>
          <w:rFonts w:cs="Times New Roman"/>
        </w:rPr>
        <w:t xml:space="preserve"> </w:t>
      </w:r>
      <w:r w:rsidR="002F1503" w:rsidRPr="000E7469">
        <w:rPr>
          <w:rFonts w:cs="Times New Roman"/>
        </w:rPr>
        <w:t>T</w:t>
      </w:r>
      <w:r w:rsidR="0020098E" w:rsidRPr="000E7469">
        <w:rPr>
          <w:rFonts w:cs="Times New Roman"/>
        </w:rPr>
        <w:t>he Centers of Medicare and Medicaid Services</w:t>
      </w:r>
      <w:r w:rsidR="002F1503" w:rsidRPr="000E7469">
        <w:rPr>
          <w:rFonts w:cs="Times New Roman"/>
        </w:rPr>
        <w:t>’</w:t>
      </w:r>
      <w:r w:rsidR="0020098E" w:rsidRPr="000E7469">
        <w:rPr>
          <w:rFonts w:cs="Times New Roman"/>
        </w:rPr>
        <w:t xml:space="preserve"> new payment model in</w:t>
      </w:r>
      <w:r w:rsidR="003E7693" w:rsidRPr="000E7469">
        <w:rPr>
          <w:rFonts w:cs="Times New Roman"/>
        </w:rPr>
        <w:t>volves</w:t>
      </w:r>
      <w:r w:rsidR="0020098E" w:rsidRPr="000E7469">
        <w:rPr>
          <w:rFonts w:cs="Times New Roman"/>
        </w:rPr>
        <w:t xml:space="preserve"> financial incentives based on quality of care and integration of services</w:t>
      </w:r>
      <w:r w:rsidR="003E7693" w:rsidRPr="000E7469">
        <w:rPr>
          <w:rFonts w:cs="Times New Roman"/>
        </w:rPr>
        <w:t>. Consequently,</w:t>
      </w:r>
      <w:r w:rsidR="0020098E" w:rsidRPr="000E7469">
        <w:rPr>
          <w:rFonts w:cs="Times New Roman"/>
        </w:rPr>
        <w:t xml:space="preserve"> n</w:t>
      </w:r>
      <w:r w:rsidR="00B417BC" w:rsidRPr="000E7469">
        <w:rPr>
          <w:rFonts w:cs="Times New Roman"/>
        </w:rPr>
        <w:t xml:space="preserve">ursing homes </w:t>
      </w:r>
      <w:proofErr w:type="gramStart"/>
      <w:r w:rsidR="00B417BC" w:rsidRPr="000E7469">
        <w:rPr>
          <w:rFonts w:cs="Times New Roman"/>
        </w:rPr>
        <w:t>who</w:t>
      </w:r>
      <w:proofErr w:type="gramEnd"/>
      <w:r w:rsidR="00B417BC" w:rsidRPr="000E7469">
        <w:rPr>
          <w:rFonts w:cs="Times New Roman"/>
        </w:rPr>
        <w:t xml:space="preserve"> participat</w:t>
      </w:r>
      <w:r w:rsidR="0020098E" w:rsidRPr="000E7469">
        <w:rPr>
          <w:rFonts w:cs="Times New Roman"/>
        </w:rPr>
        <w:t>e in the bundled payment system</w:t>
      </w:r>
      <w:r w:rsidR="00B417BC" w:rsidRPr="000E7469">
        <w:rPr>
          <w:rFonts w:cs="Times New Roman"/>
        </w:rPr>
        <w:t xml:space="preserve"> (Bundling and Coordinating Post-Acute Care Act of 2015)</w:t>
      </w:r>
      <w:r w:rsidR="0020098E" w:rsidRPr="000E7469">
        <w:rPr>
          <w:rFonts w:cs="Times New Roman"/>
        </w:rPr>
        <w:t xml:space="preserve"> may be particularly disadvantaged by </w:t>
      </w:r>
      <w:r w:rsidR="003E7693" w:rsidRPr="000E7469">
        <w:rPr>
          <w:rFonts w:cs="Times New Roman"/>
        </w:rPr>
        <w:t xml:space="preserve">delayed reception of </w:t>
      </w:r>
      <w:r w:rsidR="0020098E" w:rsidRPr="000E7469">
        <w:rPr>
          <w:rFonts w:cs="Times New Roman"/>
        </w:rPr>
        <w:t>key transfer information</w:t>
      </w:r>
      <w:r w:rsidR="00601153" w:rsidRPr="000E7469">
        <w:rPr>
          <w:rFonts w:cs="Times New Roman"/>
        </w:rPr>
        <w:t xml:space="preserve">. </w:t>
      </w:r>
      <w:r w:rsidR="004E3FD4" w:rsidRPr="000E7469">
        <w:rPr>
          <w:rFonts w:cs="Times New Roman"/>
        </w:rPr>
        <w:t>Efficiency and quality outcomes are best achieved by integrating timely health information.</w:t>
      </w:r>
      <w:r w:rsidR="007F0216" w:rsidRPr="000E7469">
        <w:rPr>
          <w:rFonts w:cs="Times New Roman"/>
        </w:rPr>
        <w:t xml:space="preserve"> </w:t>
      </w:r>
      <w:r w:rsidR="004E3FD4" w:rsidRPr="000E7469">
        <w:rPr>
          <w:rFonts w:cs="Times New Roman"/>
        </w:rPr>
        <w:t>Certainly, when nursing homes have key information about incoming residents, they have better opportunities to creat</w:t>
      </w:r>
      <w:r w:rsidR="00F408BA" w:rsidRPr="000E7469">
        <w:rPr>
          <w:rFonts w:cs="Times New Roman"/>
        </w:rPr>
        <w:t>e a resident-centered care plan.</w:t>
      </w:r>
      <w:r w:rsidR="000E652E" w:rsidRPr="000E7469">
        <w:rPr>
          <w:rFonts w:cs="Times New Roman"/>
        </w:rPr>
        <w:t xml:space="preserve"> </w:t>
      </w:r>
    </w:p>
    <w:p w14:paraId="3F7F4456" w14:textId="14C282D2" w:rsidR="004D03F8" w:rsidRPr="000E7469" w:rsidRDefault="00D9402E" w:rsidP="000E7469">
      <w:pPr>
        <w:spacing w:line="480" w:lineRule="auto"/>
        <w:rPr>
          <w:rFonts w:cs="Times New Roman"/>
        </w:rPr>
      </w:pPr>
      <w:r w:rsidRPr="000E7469">
        <w:rPr>
          <w:rFonts w:cs="Times New Roman"/>
          <w:b/>
        </w:rPr>
        <w:t>Recommendation</w:t>
      </w:r>
      <w:r w:rsidR="00535DF8" w:rsidRPr="000E7469">
        <w:rPr>
          <w:rFonts w:cs="Times New Roman"/>
          <w:b/>
        </w:rPr>
        <w:t xml:space="preserve"> #2:</w:t>
      </w:r>
      <w:r w:rsidR="00C4742C">
        <w:rPr>
          <w:rFonts w:cs="Times New Roman"/>
          <w:b/>
        </w:rPr>
        <w:t xml:space="preserve"> Core transition r</w:t>
      </w:r>
      <w:r w:rsidRPr="000E7469">
        <w:rPr>
          <w:rFonts w:cs="Times New Roman"/>
          <w:b/>
        </w:rPr>
        <w:t xml:space="preserve">ecords </w:t>
      </w:r>
      <w:r w:rsidR="00C4742C">
        <w:rPr>
          <w:rFonts w:cs="Times New Roman"/>
          <w:b/>
        </w:rPr>
        <w:t>s</w:t>
      </w:r>
      <w:r w:rsidR="00871FAE" w:rsidRPr="000E7469">
        <w:rPr>
          <w:rFonts w:cs="Times New Roman"/>
          <w:b/>
        </w:rPr>
        <w:t>hould</w:t>
      </w:r>
      <w:r w:rsidR="00C4742C">
        <w:rPr>
          <w:rFonts w:cs="Times New Roman"/>
          <w:b/>
        </w:rPr>
        <w:t xml:space="preserve"> include information about cognitive s</w:t>
      </w:r>
      <w:r w:rsidRPr="000E7469">
        <w:rPr>
          <w:rFonts w:cs="Times New Roman"/>
          <w:b/>
        </w:rPr>
        <w:t>tatus (inclusive of specific cognitive domains)</w:t>
      </w:r>
    </w:p>
    <w:p w14:paraId="0E5C389A" w14:textId="00096BBA" w:rsidR="00EA1C07" w:rsidRPr="000E7469" w:rsidRDefault="004D03F8" w:rsidP="000E7469">
      <w:pPr>
        <w:spacing w:line="480" w:lineRule="auto"/>
        <w:rPr>
          <w:rFonts w:cs="Times New Roman"/>
        </w:rPr>
      </w:pPr>
      <w:r w:rsidRPr="000E7469">
        <w:rPr>
          <w:rFonts w:cs="Times New Roman"/>
        </w:rPr>
        <w:tab/>
      </w:r>
      <w:r w:rsidR="00293728" w:rsidRPr="000E7469">
        <w:rPr>
          <w:rFonts w:cs="Times New Roman"/>
        </w:rPr>
        <w:t xml:space="preserve">Study </w:t>
      </w:r>
      <w:r w:rsidR="002338E3">
        <w:rPr>
          <w:rFonts w:cs="Times New Roman"/>
        </w:rPr>
        <w:t>participants</w:t>
      </w:r>
      <w:r w:rsidR="00293728" w:rsidRPr="000E7469">
        <w:rPr>
          <w:rFonts w:cs="Times New Roman"/>
        </w:rPr>
        <w:t xml:space="preserve"> reported that medical information transferred from hospitals </w:t>
      </w:r>
      <w:r w:rsidR="00552311">
        <w:rPr>
          <w:rFonts w:cs="Times New Roman"/>
        </w:rPr>
        <w:t xml:space="preserve">lacks </w:t>
      </w:r>
      <w:r w:rsidR="00293728" w:rsidRPr="000E7469">
        <w:rPr>
          <w:rFonts w:cs="Times New Roman"/>
        </w:rPr>
        <w:t>critical information about the cognitive functioning of transferring patients.</w:t>
      </w:r>
      <w:r w:rsidR="007F0216" w:rsidRPr="000E7469">
        <w:rPr>
          <w:rFonts w:cs="Times New Roman"/>
        </w:rPr>
        <w:t xml:space="preserve"> </w:t>
      </w:r>
      <w:r w:rsidR="00293728" w:rsidRPr="000E7469">
        <w:rPr>
          <w:rFonts w:cs="Times New Roman"/>
        </w:rPr>
        <w:t>This view applied to both global cognition as well as specific cognitive domains, such as memory and executive skills.</w:t>
      </w:r>
      <w:r w:rsidR="007F0216" w:rsidRPr="000E7469">
        <w:rPr>
          <w:rFonts w:cs="Times New Roman"/>
        </w:rPr>
        <w:t xml:space="preserve"> </w:t>
      </w:r>
      <w:r w:rsidR="00B93D60" w:rsidRPr="000E7469">
        <w:rPr>
          <w:rFonts w:cs="Times New Roman"/>
        </w:rPr>
        <w:t xml:space="preserve">From a more global perspective, 100% of the </w:t>
      </w:r>
      <w:r w:rsidR="002338E3">
        <w:rPr>
          <w:rFonts w:cs="Times New Roman"/>
        </w:rPr>
        <w:t>participants</w:t>
      </w:r>
      <w:r w:rsidR="00B93D60" w:rsidRPr="000E7469">
        <w:rPr>
          <w:rFonts w:cs="Times New Roman"/>
        </w:rPr>
        <w:t xml:space="preserve"> indicated that receiving cognitive information as part of the transfer information is important, and 85% reported that it is “very important</w:t>
      </w:r>
      <w:r w:rsidR="00C4742C">
        <w:rPr>
          <w:rFonts w:cs="Times New Roman"/>
        </w:rPr>
        <w:t>.”</w:t>
      </w:r>
      <w:r w:rsidR="00B93D60" w:rsidRPr="000E7469">
        <w:rPr>
          <w:rFonts w:cs="Times New Roman"/>
        </w:rPr>
        <w:t xml:space="preserve"> </w:t>
      </w:r>
      <w:r w:rsidR="00293728" w:rsidRPr="000E7469">
        <w:rPr>
          <w:rFonts w:cs="Times New Roman"/>
        </w:rPr>
        <w:t xml:space="preserve">It is interesting to note that the study </w:t>
      </w:r>
      <w:r w:rsidR="002338E3">
        <w:rPr>
          <w:rFonts w:cs="Times New Roman"/>
        </w:rPr>
        <w:t>participants</w:t>
      </w:r>
      <w:r w:rsidR="00293728" w:rsidRPr="000E7469">
        <w:rPr>
          <w:rFonts w:cs="Times New Roman"/>
        </w:rPr>
        <w:t xml:space="preserve"> strongly endorsed </w:t>
      </w:r>
      <w:r w:rsidR="00B93D60" w:rsidRPr="000E7469">
        <w:rPr>
          <w:rFonts w:cs="Times New Roman"/>
        </w:rPr>
        <w:t>the importance of having cognitive</w:t>
      </w:r>
      <w:r w:rsidR="00293728" w:rsidRPr="000E7469">
        <w:rPr>
          <w:rFonts w:cs="Times New Roman"/>
        </w:rPr>
        <w:t xml:space="preserve"> information for improving person-centered care (94%), effectiveness of rehabilitation (94%), improving caregiver education (94%), and discharge </w:t>
      </w:r>
      <w:r w:rsidR="00293728" w:rsidRPr="000E7469">
        <w:rPr>
          <w:rFonts w:cs="Times New Roman"/>
        </w:rPr>
        <w:lastRenderedPageBreak/>
        <w:t>planning (91%).</w:t>
      </w:r>
      <w:r w:rsidR="007F0216" w:rsidRPr="000E7469">
        <w:rPr>
          <w:rFonts w:cs="Times New Roman"/>
        </w:rPr>
        <w:t xml:space="preserve"> </w:t>
      </w:r>
      <w:r w:rsidR="00552311">
        <w:rPr>
          <w:rFonts w:cs="Times New Roman"/>
        </w:rPr>
        <w:t>These results</w:t>
      </w:r>
      <w:r w:rsidR="00293728" w:rsidRPr="000E7469">
        <w:rPr>
          <w:rFonts w:cs="Times New Roman"/>
        </w:rPr>
        <w:t xml:space="preserve"> are co</w:t>
      </w:r>
      <w:r w:rsidR="00951464" w:rsidRPr="000E7469">
        <w:rPr>
          <w:rFonts w:cs="Times New Roman"/>
        </w:rPr>
        <w:t>ngruent with the summary report</w:t>
      </w:r>
      <w:r w:rsidR="00293728" w:rsidRPr="000E7469">
        <w:rPr>
          <w:rFonts w:cs="Times New Roman"/>
        </w:rPr>
        <w:t xml:space="preserve"> from </w:t>
      </w:r>
      <w:r w:rsidR="00951464" w:rsidRPr="000E7469">
        <w:rPr>
          <w:rFonts w:cs="Times New Roman"/>
        </w:rPr>
        <w:t>the Transitions of Care Consensus Conference (TOCCC)</w:t>
      </w:r>
      <w:proofErr w:type="gramStart"/>
      <w:r w:rsidR="007F0216" w:rsidRPr="000E7469">
        <w:rPr>
          <w:rFonts w:cs="Times New Roman"/>
        </w:rPr>
        <w:t>,</w:t>
      </w:r>
      <w:r w:rsidR="00951464" w:rsidRPr="000E7469">
        <w:rPr>
          <w:rFonts w:cs="Times New Roman"/>
          <w:vertAlign w:val="superscript"/>
        </w:rPr>
        <w:t>9</w:t>
      </w:r>
      <w:proofErr w:type="gramEnd"/>
      <w:r w:rsidR="00951464" w:rsidRPr="000E7469">
        <w:rPr>
          <w:rFonts w:cs="Times New Roman"/>
        </w:rPr>
        <w:t xml:space="preserve"> which advocates for the development of an agreed upon, standard minimum data set that hospitals would use in discharging patients.</w:t>
      </w:r>
      <w:r w:rsidR="007F0216" w:rsidRPr="000E7469">
        <w:rPr>
          <w:rFonts w:cs="Times New Roman"/>
        </w:rPr>
        <w:t xml:space="preserve"> </w:t>
      </w:r>
      <w:r w:rsidR="00951464" w:rsidRPr="000E7469">
        <w:rPr>
          <w:rFonts w:cs="Times New Roman"/>
        </w:rPr>
        <w:t>The TOCCC recommends data pertinent to the patient’s cognitive status as one of the five core elements in hospital transition records.</w:t>
      </w:r>
      <w:r w:rsidR="007F0216" w:rsidRPr="000E7469">
        <w:rPr>
          <w:rFonts w:cs="Times New Roman"/>
        </w:rPr>
        <w:t xml:space="preserve"> </w:t>
      </w:r>
    </w:p>
    <w:p w14:paraId="77BBEC85" w14:textId="4E861CE8" w:rsidR="00B93D60" w:rsidRPr="000E7469" w:rsidRDefault="00B93D60" w:rsidP="000E7469">
      <w:pPr>
        <w:spacing w:line="480" w:lineRule="auto"/>
        <w:rPr>
          <w:rFonts w:cs="Times New Roman"/>
        </w:rPr>
      </w:pPr>
      <w:r w:rsidRPr="000E7469">
        <w:rPr>
          <w:rFonts w:cs="Times New Roman"/>
        </w:rPr>
        <w:tab/>
        <w:t>It is also important to make a distinction between receiving subjective or objective cognitive screening information versus information from cognitive tests that provide more specific cognitive domain insights.</w:t>
      </w:r>
      <w:r w:rsidR="007F0216" w:rsidRPr="000E7469">
        <w:rPr>
          <w:rFonts w:cs="Times New Roman"/>
        </w:rPr>
        <w:t xml:space="preserve"> </w:t>
      </w:r>
      <w:r w:rsidR="00552311">
        <w:rPr>
          <w:rFonts w:cs="Times New Roman"/>
        </w:rPr>
        <w:t xml:space="preserve">Specifically, </w:t>
      </w:r>
      <w:r w:rsidR="002338E3">
        <w:rPr>
          <w:rFonts w:cs="Times New Roman"/>
        </w:rPr>
        <w:t>participants</w:t>
      </w:r>
      <w:r w:rsidR="00E7709F" w:rsidRPr="000E7469">
        <w:rPr>
          <w:rFonts w:cs="Times New Roman"/>
        </w:rPr>
        <w:t xml:space="preserve"> indicated that having information abo</w:t>
      </w:r>
      <w:r w:rsidR="00552311">
        <w:rPr>
          <w:rFonts w:cs="Times New Roman"/>
        </w:rPr>
        <w:t xml:space="preserve">ut memory and executive skills </w:t>
      </w:r>
      <w:r w:rsidR="00E7709F" w:rsidRPr="000E7469">
        <w:rPr>
          <w:rFonts w:cs="Times New Roman"/>
        </w:rPr>
        <w:t>could improve</w:t>
      </w:r>
      <w:r w:rsidR="00552311">
        <w:rPr>
          <w:rFonts w:cs="Times New Roman"/>
        </w:rPr>
        <w:t xml:space="preserve"> nursing home</w:t>
      </w:r>
      <w:r w:rsidR="00E7709F" w:rsidRPr="000E7469">
        <w:rPr>
          <w:rFonts w:cs="Times New Roman"/>
        </w:rPr>
        <w:t xml:space="preserve"> care </w:t>
      </w:r>
      <w:r w:rsidR="00552311">
        <w:rPr>
          <w:rFonts w:cs="Times New Roman"/>
        </w:rPr>
        <w:t>and the</w:t>
      </w:r>
      <w:r w:rsidR="00E7709F" w:rsidRPr="000E7469">
        <w:rPr>
          <w:rFonts w:cs="Times New Roman"/>
        </w:rPr>
        <w:t xml:space="preserve"> discharge process. </w:t>
      </w:r>
    </w:p>
    <w:p w14:paraId="32F20C97" w14:textId="23241D61" w:rsidR="001930B2" w:rsidRPr="000E7469" w:rsidRDefault="00557381" w:rsidP="000E7469">
      <w:pPr>
        <w:spacing w:line="480" w:lineRule="auto"/>
        <w:rPr>
          <w:rFonts w:cs="Times New Roman"/>
          <w:b/>
        </w:rPr>
      </w:pPr>
      <w:r>
        <w:rPr>
          <w:rFonts w:cs="Times New Roman"/>
          <w:b/>
        </w:rPr>
        <w:t>Recommendation #3: Core transition r</w:t>
      </w:r>
      <w:r w:rsidR="00B93D60" w:rsidRPr="000E7469">
        <w:rPr>
          <w:rFonts w:cs="Times New Roman"/>
          <w:b/>
        </w:rPr>
        <w:t xml:space="preserve">ecords </w:t>
      </w:r>
      <w:r>
        <w:rPr>
          <w:rFonts w:cs="Times New Roman"/>
          <w:b/>
        </w:rPr>
        <w:t>s</w:t>
      </w:r>
      <w:r w:rsidR="007F0216" w:rsidRPr="000E7469">
        <w:rPr>
          <w:rFonts w:cs="Times New Roman"/>
          <w:b/>
        </w:rPr>
        <w:t>hould</w:t>
      </w:r>
      <w:r>
        <w:rPr>
          <w:rFonts w:cs="Times New Roman"/>
          <w:b/>
        </w:rPr>
        <w:t xml:space="preserve"> include detailed information about mood s</w:t>
      </w:r>
      <w:r w:rsidR="00B93D60" w:rsidRPr="000E7469">
        <w:rPr>
          <w:rFonts w:cs="Times New Roman"/>
          <w:b/>
        </w:rPr>
        <w:t>tatus</w:t>
      </w:r>
      <w:r w:rsidR="001930B2" w:rsidRPr="000E7469">
        <w:rPr>
          <w:rFonts w:cs="Times New Roman"/>
          <w:b/>
        </w:rPr>
        <w:t xml:space="preserve"> </w:t>
      </w:r>
    </w:p>
    <w:p w14:paraId="222B7989" w14:textId="4147A031" w:rsidR="00B93D60" w:rsidRPr="000E7469" w:rsidRDefault="00CE4F57" w:rsidP="000E7469">
      <w:pPr>
        <w:spacing w:line="480" w:lineRule="auto"/>
        <w:rPr>
          <w:rFonts w:cs="Times New Roman"/>
        </w:rPr>
      </w:pPr>
      <w:r w:rsidRPr="000E7469">
        <w:rPr>
          <w:rFonts w:cs="Times New Roman"/>
        </w:rPr>
        <w:tab/>
        <w:t xml:space="preserve">Studies that have investigated the base rate of depressive episodes and </w:t>
      </w:r>
      <w:r w:rsidR="007E5F0B" w:rsidRPr="000E7469">
        <w:rPr>
          <w:rFonts w:cs="Times New Roman"/>
        </w:rPr>
        <w:t>generalized anxiety in short stay nursing home residents indicate occurrence rates between 20% and 30% for both conditions</w:t>
      </w:r>
      <w:r w:rsidR="007F0216" w:rsidRPr="000E7469">
        <w:rPr>
          <w:rFonts w:cs="Times New Roman"/>
        </w:rPr>
        <w:t>.</w:t>
      </w:r>
      <w:r w:rsidR="00871FAE" w:rsidRPr="000E7469">
        <w:rPr>
          <w:rFonts w:cs="Times New Roman"/>
          <w:vertAlign w:val="superscript"/>
        </w:rPr>
        <w:t>8</w:t>
      </w:r>
      <w:r w:rsidR="007F0216" w:rsidRPr="000E7469">
        <w:rPr>
          <w:rFonts w:cs="Times New Roman"/>
        </w:rPr>
        <w:t xml:space="preserve"> </w:t>
      </w:r>
      <w:r w:rsidR="007E5F0B" w:rsidRPr="000E7469">
        <w:rPr>
          <w:rFonts w:cs="Times New Roman"/>
        </w:rPr>
        <w:t xml:space="preserve">Given the fact that depressive and anxiety symptoms are common among this population, it is alarming that </w:t>
      </w:r>
      <w:r w:rsidR="002338E3">
        <w:rPr>
          <w:rFonts w:cs="Times New Roman"/>
        </w:rPr>
        <w:t>participants</w:t>
      </w:r>
      <w:r w:rsidR="00284124">
        <w:rPr>
          <w:rFonts w:cs="Times New Roman"/>
        </w:rPr>
        <w:t xml:space="preserve"> in our study</w:t>
      </w:r>
      <w:r w:rsidR="007E5F0B" w:rsidRPr="000E7469">
        <w:rPr>
          <w:rFonts w:cs="Times New Roman"/>
        </w:rPr>
        <w:t xml:space="preserve"> reported that they receive useful mood status information from the discharging hospital less 50% of the time (40% for depression, 46% for anxiety). </w:t>
      </w:r>
      <w:r w:rsidR="001930B2" w:rsidRPr="000E7469">
        <w:rPr>
          <w:rFonts w:cs="Times New Roman"/>
        </w:rPr>
        <w:t xml:space="preserve">These residents do receive depression screening </w:t>
      </w:r>
      <w:r w:rsidR="00D0017E" w:rsidRPr="000E7469">
        <w:rPr>
          <w:rFonts w:cs="Times New Roman"/>
        </w:rPr>
        <w:t>via th</w:t>
      </w:r>
      <w:r w:rsidR="003875E0">
        <w:rPr>
          <w:rFonts w:cs="Times New Roman"/>
        </w:rPr>
        <w:t>e Patient Health Questionnaire –</w:t>
      </w:r>
      <w:r w:rsidR="00D0017E" w:rsidRPr="000E7469">
        <w:rPr>
          <w:rFonts w:cs="Times New Roman"/>
        </w:rPr>
        <w:t xml:space="preserve"> 9 </w:t>
      </w:r>
      <w:r w:rsidR="001930B2" w:rsidRPr="000E7469">
        <w:rPr>
          <w:rFonts w:cs="Times New Roman"/>
        </w:rPr>
        <w:t>(PHQ</w:t>
      </w:r>
      <w:r w:rsidR="00D0017E" w:rsidRPr="000E7469">
        <w:rPr>
          <w:rFonts w:cs="Times New Roman"/>
        </w:rPr>
        <w:t>-9</w:t>
      </w:r>
      <w:r w:rsidR="001930B2" w:rsidRPr="000E7469">
        <w:rPr>
          <w:rFonts w:cs="Times New Roman"/>
        </w:rPr>
        <w:t xml:space="preserve">) during their </w:t>
      </w:r>
      <w:r w:rsidR="00D0017E" w:rsidRPr="000E7469">
        <w:rPr>
          <w:rFonts w:cs="Times New Roman"/>
        </w:rPr>
        <w:t xml:space="preserve">nursing home </w:t>
      </w:r>
      <w:r w:rsidR="001930B2" w:rsidRPr="000E7469">
        <w:rPr>
          <w:rFonts w:cs="Times New Roman"/>
        </w:rPr>
        <w:t>stays, but do not routinely receive anxiety screening.</w:t>
      </w:r>
      <w:r w:rsidR="007F0216" w:rsidRPr="000E7469">
        <w:rPr>
          <w:rFonts w:cs="Times New Roman"/>
        </w:rPr>
        <w:t xml:space="preserve"> </w:t>
      </w:r>
      <w:r w:rsidR="001930B2" w:rsidRPr="000E7469">
        <w:rPr>
          <w:rFonts w:cs="Times New Roman"/>
        </w:rPr>
        <w:t>We recommend that hospitals include mood</w:t>
      </w:r>
      <w:r w:rsidR="006B1DB2" w:rsidRPr="000E7469">
        <w:rPr>
          <w:rFonts w:cs="Times New Roman"/>
        </w:rPr>
        <w:t xml:space="preserve"> and anxiety</w:t>
      </w:r>
      <w:r w:rsidR="001930B2" w:rsidRPr="000E7469">
        <w:rPr>
          <w:rFonts w:cs="Times New Roman"/>
        </w:rPr>
        <w:t xml:space="preserve"> status information as part of the information transfer, and that this information contains measurement of </w:t>
      </w:r>
      <w:r w:rsidR="006B1DB2" w:rsidRPr="000E7469">
        <w:rPr>
          <w:rFonts w:cs="Times New Roman"/>
        </w:rPr>
        <w:t xml:space="preserve">specific </w:t>
      </w:r>
      <w:r w:rsidR="001930B2" w:rsidRPr="000E7469">
        <w:rPr>
          <w:rFonts w:cs="Times New Roman"/>
        </w:rPr>
        <w:t xml:space="preserve">depressive </w:t>
      </w:r>
      <w:r w:rsidR="001930B2" w:rsidRPr="00C935FC">
        <w:rPr>
          <w:rFonts w:cs="Times New Roman"/>
          <w:i/>
        </w:rPr>
        <w:t>and</w:t>
      </w:r>
      <w:r w:rsidR="001930B2" w:rsidRPr="000E7469">
        <w:rPr>
          <w:rFonts w:cs="Times New Roman"/>
        </w:rPr>
        <w:t xml:space="preserve"> anxiety symptoms.</w:t>
      </w:r>
      <w:r w:rsidR="007F0216" w:rsidRPr="000E7469">
        <w:rPr>
          <w:rFonts w:cs="Times New Roman"/>
        </w:rPr>
        <w:t xml:space="preserve"> </w:t>
      </w:r>
      <w:r w:rsidR="001930B2" w:rsidRPr="000E7469">
        <w:rPr>
          <w:rFonts w:cs="Times New Roman"/>
        </w:rPr>
        <w:t xml:space="preserve">This could be accomplished by using separate depression and anxiety screening instruments, or by administering a screening tool that is sensitive to both conditions (e.g., </w:t>
      </w:r>
      <w:r w:rsidR="00BD6895" w:rsidRPr="000E7469">
        <w:rPr>
          <w:rFonts w:cs="Times New Roman"/>
        </w:rPr>
        <w:t>Brief Anxiety and Depression Scale</w:t>
      </w:r>
      <w:r w:rsidR="00C44CB4" w:rsidRPr="000E7469">
        <w:rPr>
          <w:rFonts w:cs="Times New Roman"/>
        </w:rPr>
        <w:t>; BADS</w:t>
      </w:r>
      <w:r w:rsidR="001930B2" w:rsidRPr="000E7469">
        <w:rPr>
          <w:rFonts w:cs="Times New Roman"/>
        </w:rPr>
        <w:t xml:space="preserve">). </w:t>
      </w:r>
    </w:p>
    <w:p w14:paraId="4E484875" w14:textId="6D2C4CB7" w:rsidR="001930B2" w:rsidRPr="000E7469" w:rsidRDefault="001930B2" w:rsidP="000E7469">
      <w:pPr>
        <w:spacing w:line="480" w:lineRule="auto"/>
        <w:rPr>
          <w:rFonts w:cs="Times New Roman"/>
          <w:b/>
        </w:rPr>
      </w:pPr>
      <w:r w:rsidRPr="000E7469">
        <w:rPr>
          <w:rFonts w:cs="Times New Roman"/>
          <w:b/>
        </w:rPr>
        <w:lastRenderedPageBreak/>
        <w:t>Recommendation #4:</w:t>
      </w:r>
      <w:r w:rsidR="000375A7">
        <w:rPr>
          <w:rFonts w:cs="Times New Roman"/>
          <w:b/>
        </w:rPr>
        <w:t xml:space="preserve"> Formalize a s</w:t>
      </w:r>
      <w:r w:rsidR="008C29B9" w:rsidRPr="000E7469">
        <w:rPr>
          <w:rFonts w:cs="Times New Roman"/>
          <w:b/>
        </w:rPr>
        <w:t>ystem to</w:t>
      </w:r>
      <w:r w:rsidR="000375A7">
        <w:rPr>
          <w:rFonts w:cs="Times New Roman"/>
          <w:b/>
        </w:rPr>
        <w:t xml:space="preserve"> educate residents and their caregivers about c</w:t>
      </w:r>
      <w:r w:rsidR="008C29B9" w:rsidRPr="000E7469">
        <w:rPr>
          <w:rFonts w:cs="Times New Roman"/>
          <w:b/>
        </w:rPr>
        <w:t xml:space="preserve">ognitive and </w:t>
      </w:r>
      <w:r w:rsidR="000375A7">
        <w:rPr>
          <w:rFonts w:cs="Times New Roman"/>
          <w:b/>
        </w:rPr>
        <w:t>mood s</w:t>
      </w:r>
      <w:r w:rsidRPr="000E7469">
        <w:rPr>
          <w:rFonts w:cs="Times New Roman"/>
          <w:b/>
        </w:rPr>
        <w:t xml:space="preserve">tatus </w:t>
      </w:r>
    </w:p>
    <w:p w14:paraId="4C1E2257" w14:textId="6C6E9D2E" w:rsidR="00DE5889" w:rsidRDefault="001930B2" w:rsidP="000E7469">
      <w:pPr>
        <w:spacing w:line="480" w:lineRule="auto"/>
        <w:rPr>
          <w:rFonts w:cs="Times New Roman"/>
        </w:rPr>
      </w:pPr>
      <w:r w:rsidRPr="000E7469">
        <w:rPr>
          <w:rFonts w:cs="Times New Roman"/>
          <w:b/>
        </w:rPr>
        <w:tab/>
      </w:r>
      <w:r w:rsidR="008C29B9" w:rsidRPr="000E7469">
        <w:rPr>
          <w:rFonts w:cs="Times New Roman"/>
        </w:rPr>
        <w:t xml:space="preserve">Critical to effective person-centered care and resident voice is sharing essential information </w:t>
      </w:r>
      <w:r w:rsidR="00AC3D8F" w:rsidRPr="000E7469">
        <w:rPr>
          <w:rFonts w:cs="Times New Roman"/>
        </w:rPr>
        <w:t xml:space="preserve">with the resident and caregivers </w:t>
      </w:r>
      <w:r w:rsidR="008C29B9" w:rsidRPr="000E7469">
        <w:rPr>
          <w:rFonts w:cs="Times New Roman"/>
        </w:rPr>
        <w:t xml:space="preserve">regarding health status. </w:t>
      </w:r>
      <w:r w:rsidR="00AC3D8F" w:rsidRPr="000E7469">
        <w:rPr>
          <w:rFonts w:cs="Times New Roman"/>
        </w:rPr>
        <w:t>This should be done throughout the course of post-acute rehabilitation, and especially prior to discharge.</w:t>
      </w:r>
      <w:r w:rsidR="007F0216" w:rsidRPr="000E7469">
        <w:rPr>
          <w:rFonts w:cs="Times New Roman"/>
        </w:rPr>
        <w:t xml:space="preserve"> </w:t>
      </w:r>
      <w:r w:rsidR="002807CB" w:rsidRPr="000E7469">
        <w:rPr>
          <w:rFonts w:cs="Times New Roman"/>
        </w:rPr>
        <w:t>With respect to this last point, t</w:t>
      </w:r>
      <w:r w:rsidR="00AC3D8F" w:rsidRPr="000E7469">
        <w:rPr>
          <w:rFonts w:cs="Times New Roman"/>
        </w:rPr>
        <w:t xml:space="preserve">here is clear evidence that cognitive deficits are associated with </w:t>
      </w:r>
      <w:r w:rsidR="00D026DD" w:rsidRPr="000E7469">
        <w:rPr>
          <w:rFonts w:cs="Times New Roman"/>
        </w:rPr>
        <w:t>difficulties in performing activities of daily living</w:t>
      </w:r>
      <w:r w:rsidR="007F0216" w:rsidRPr="000E7469">
        <w:rPr>
          <w:rFonts w:cs="Times New Roman"/>
        </w:rPr>
        <w:t>.</w:t>
      </w:r>
      <w:r w:rsidR="00D026DD" w:rsidRPr="000E7469">
        <w:rPr>
          <w:rFonts w:cs="Times New Roman"/>
          <w:vertAlign w:val="superscript"/>
        </w:rPr>
        <w:t>1</w:t>
      </w:r>
      <w:r w:rsidR="00871FAE" w:rsidRPr="000E7469">
        <w:rPr>
          <w:rFonts w:cs="Times New Roman"/>
          <w:vertAlign w:val="superscript"/>
        </w:rPr>
        <w:t>0</w:t>
      </w:r>
      <w:r w:rsidR="00A3541B">
        <w:rPr>
          <w:rFonts w:cs="Times New Roman"/>
          <w:vertAlign w:val="superscript"/>
        </w:rPr>
        <w:t xml:space="preserve"> </w:t>
      </w:r>
      <w:r w:rsidR="00ED07D3">
        <w:rPr>
          <w:rFonts w:cs="Times New Roman"/>
        </w:rPr>
        <w:t xml:space="preserve">Prior </w:t>
      </w:r>
      <w:r w:rsidR="005C3E33">
        <w:rPr>
          <w:rFonts w:cs="Times New Roman"/>
        </w:rPr>
        <w:t xml:space="preserve">to discharge from the nursing home, residents who have cognitive or mood challenges be given brief written educational material (e.g., </w:t>
      </w:r>
      <w:r w:rsidR="00C935FC">
        <w:rPr>
          <w:rFonts w:cs="Times New Roman"/>
        </w:rPr>
        <w:t>“</w:t>
      </w:r>
      <w:r w:rsidR="005C3E33">
        <w:rPr>
          <w:rFonts w:cs="Times New Roman"/>
        </w:rPr>
        <w:t>one-pager</w:t>
      </w:r>
      <w:r w:rsidR="00C935FC">
        <w:rPr>
          <w:rFonts w:cs="Times New Roman"/>
        </w:rPr>
        <w:t>”</w:t>
      </w:r>
      <w:r w:rsidR="005C3E33">
        <w:rPr>
          <w:rFonts w:cs="Times New Roman"/>
        </w:rPr>
        <w:t xml:space="preserve"> for mood, </w:t>
      </w:r>
      <w:r w:rsidR="00C935FC">
        <w:rPr>
          <w:rFonts w:cs="Times New Roman"/>
        </w:rPr>
        <w:t>“</w:t>
      </w:r>
      <w:r w:rsidR="005C3E33">
        <w:rPr>
          <w:rFonts w:cs="Times New Roman"/>
        </w:rPr>
        <w:t>one-pager</w:t>
      </w:r>
      <w:r w:rsidR="00C935FC">
        <w:rPr>
          <w:rFonts w:cs="Times New Roman"/>
        </w:rPr>
        <w:t>”</w:t>
      </w:r>
      <w:r w:rsidR="005C3E33">
        <w:rPr>
          <w:rFonts w:cs="Times New Roman"/>
        </w:rPr>
        <w:t xml:space="preserve"> for cognition) about s</w:t>
      </w:r>
      <w:r w:rsidR="000375A7">
        <w:rPr>
          <w:rFonts w:cs="Times New Roman"/>
        </w:rPr>
        <w:t>ymptoms and signs of impairment. These sources should also contain basic daily management ideas</w:t>
      </w:r>
      <w:r w:rsidR="005C3E33">
        <w:rPr>
          <w:rFonts w:cs="Times New Roman"/>
        </w:rPr>
        <w:t xml:space="preserve"> </w:t>
      </w:r>
      <w:r w:rsidR="000375A7">
        <w:rPr>
          <w:rFonts w:cs="Times New Roman"/>
        </w:rPr>
        <w:t>as well as</w:t>
      </w:r>
      <w:r w:rsidR="005C3E33">
        <w:rPr>
          <w:rFonts w:cs="Times New Roman"/>
        </w:rPr>
        <w:t xml:space="preserve"> information about when and how to seek professional care in their communities</w:t>
      </w:r>
      <w:r w:rsidR="00523103">
        <w:rPr>
          <w:rFonts w:cs="Times New Roman"/>
        </w:rPr>
        <w:t>.</w:t>
      </w:r>
      <w:r w:rsidR="005C3E33">
        <w:rPr>
          <w:rFonts w:cs="Times New Roman"/>
        </w:rPr>
        <w:t xml:space="preserve"> This information should also be shared with caregivers. </w:t>
      </w:r>
    </w:p>
    <w:p w14:paraId="46108A0B" w14:textId="28D9C128" w:rsidR="001930B2" w:rsidRPr="005C3E33" w:rsidRDefault="00776F74" w:rsidP="00DE5889">
      <w:pPr>
        <w:spacing w:line="480" w:lineRule="auto"/>
        <w:ind w:firstLine="720"/>
        <w:rPr>
          <w:rFonts w:cs="Times New Roman"/>
        </w:rPr>
      </w:pPr>
      <w:r>
        <w:rPr>
          <w:rFonts w:cs="Times New Roman"/>
        </w:rPr>
        <w:t xml:space="preserve">To optimize the effectiveness of this material, it </w:t>
      </w:r>
      <w:r w:rsidR="005C3E33">
        <w:rPr>
          <w:rFonts w:cs="Times New Roman"/>
        </w:rPr>
        <w:t xml:space="preserve">should be </w:t>
      </w:r>
      <w:r w:rsidR="00C508E2">
        <w:rPr>
          <w:rFonts w:cs="Times New Roman"/>
        </w:rPr>
        <w:t>actively</w:t>
      </w:r>
      <w:r w:rsidR="005C3E33">
        <w:rPr>
          <w:rFonts w:cs="Times New Roman"/>
        </w:rPr>
        <w:t xml:space="preserve"> reviewed </w:t>
      </w:r>
      <w:r w:rsidR="00C935FC">
        <w:rPr>
          <w:rFonts w:cs="Times New Roman"/>
        </w:rPr>
        <w:t xml:space="preserve">with them </w:t>
      </w:r>
      <w:r>
        <w:rPr>
          <w:rFonts w:cs="Times New Roman"/>
        </w:rPr>
        <w:t>as part of the discharge process</w:t>
      </w:r>
      <w:r w:rsidR="00ED07D3">
        <w:rPr>
          <w:rFonts w:cs="Times New Roman"/>
        </w:rPr>
        <w:t xml:space="preserve"> rather than passively transferring information</w:t>
      </w:r>
      <w:r w:rsidR="00523103">
        <w:rPr>
          <w:rFonts w:cs="Times New Roman"/>
        </w:rPr>
        <w:t xml:space="preserve">. </w:t>
      </w:r>
      <w:r w:rsidR="00C508E2">
        <w:rPr>
          <w:rFonts w:cs="Times New Roman"/>
        </w:rPr>
        <w:t>This active approach allows</w:t>
      </w:r>
      <w:r>
        <w:rPr>
          <w:rFonts w:cs="Times New Roman"/>
        </w:rPr>
        <w:t xml:space="preserve"> </w:t>
      </w:r>
      <w:r w:rsidR="005C3E33">
        <w:rPr>
          <w:rFonts w:cs="Times New Roman"/>
        </w:rPr>
        <w:t>re</w:t>
      </w:r>
      <w:r w:rsidR="00C508E2">
        <w:rPr>
          <w:rFonts w:cs="Times New Roman"/>
        </w:rPr>
        <w:t>sidents and their caregivers to</w:t>
      </w:r>
      <w:r w:rsidR="005C3E33">
        <w:rPr>
          <w:rFonts w:cs="Times New Roman"/>
        </w:rPr>
        <w:t xml:space="preserve"> ask questions</w:t>
      </w:r>
      <w:r w:rsidR="00C935FC">
        <w:rPr>
          <w:rFonts w:cs="Times New Roman"/>
        </w:rPr>
        <w:t xml:space="preserve"> about</w:t>
      </w:r>
      <w:r>
        <w:rPr>
          <w:rFonts w:cs="Times New Roman"/>
        </w:rPr>
        <w:t xml:space="preserve"> the material and their discharges</w:t>
      </w:r>
      <w:r w:rsidR="00523103">
        <w:rPr>
          <w:rFonts w:cs="Times New Roman"/>
        </w:rPr>
        <w:t xml:space="preserve">. </w:t>
      </w:r>
      <w:r w:rsidR="00C935FC">
        <w:rPr>
          <w:rFonts w:cs="Times New Roman"/>
        </w:rPr>
        <w:t xml:space="preserve">Conveying and discussing </w:t>
      </w:r>
      <w:r w:rsidR="005C3E33">
        <w:rPr>
          <w:rFonts w:cs="Times New Roman"/>
        </w:rPr>
        <w:t xml:space="preserve">information </w:t>
      </w:r>
      <w:r>
        <w:rPr>
          <w:rFonts w:cs="Times New Roman"/>
        </w:rPr>
        <w:t xml:space="preserve">to residents and their caregivers </w:t>
      </w:r>
      <w:r w:rsidR="00C935FC">
        <w:rPr>
          <w:rFonts w:cs="Times New Roman"/>
        </w:rPr>
        <w:t xml:space="preserve">can also be accomplished </w:t>
      </w:r>
      <w:r>
        <w:rPr>
          <w:rFonts w:cs="Times New Roman"/>
        </w:rPr>
        <w:t>through a</w:t>
      </w:r>
      <w:r w:rsidR="005C3E33">
        <w:rPr>
          <w:rFonts w:cs="Times New Roman"/>
        </w:rPr>
        <w:t xml:space="preserve"> DVD or </w:t>
      </w:r>
      <w:proofErr w:type="gramStart"/>
      <w:r w:rsidR="005C3E33">
        <w:rPr>
          <w:rFonts w:cs="Times New Roman"/>
        </w:rPr>
        <w:t>internet</w:t>
      </w:r>
      <w:proofErr w:type="gramEnd"/>
      <w:r w:rsidR="005C3E33">
        <w:rPr>
          <w:rFonts w:cs="Times New Roman"/>
        </w:rPr>
        <w:t xml:space="preserve"> link</w:t>
      </w:r>
      <w:r w:rsidR="00523103">
        <w:rPr>
          <w:rFonts w:cs="Times New Roman"/>
        </w:rPr>
        <w:t xml:space="preserve">. </w:t>
      </w:r>
      <w:r>
        <w:rPr>
          <w:rFonts w:cs="Times New Roman"/>
        </w:rPr>
        <w:t>This second approach would allow for actual t</w:t>
      </w:r>
      <w:r w:rsidR="005B2D43">
        <w:rPr>
          <w:rFonts w:cs="Times New Roman"/>
        </w:rPr>
        <w:t xml:space="preserve">raining in symptom management. </w:t>
      </w:r>
      <w:r w:rsidR="00C508E2">
        <w:rPr>
          <w:rFonts w:cs="Times New Roman"/>
        </w:rPr>
        <w:t>For cognitively imp</w:t>
      </w:r>
      <w:r w:rsidR="00C935FC">
        <w:rPr>
          <w:rFonts w:cs="Times New Roman"/>
        </w:rPr>
        <w:t>aired residents who exhibit behavioral and psychological symptoms of dementia</w:t>
      </w:r>
      <w:r w:rsidR="00ED07D3">
        <w:rPr>
          <w:rFonts w:cs="Times New Roman"/>
        </w:rPr>
        <w:t xml:space="preserve"> (e.g., </w:t>
      </w:r>
      <w:r w:rsidR="004B3C60">
        <w:rPr>
          <w:rFonts w:cs="Times New Roman"/>
        </w:rPr>
        <w:t>aggression</w:t>
      </w:r>
      <w:r w:rsidR="00ED07D3">
        <w:rPr>
          <w:rFonts w:cs="Times New Roman"/>
        </w:rPr>
        <w:t>)</w:t>
      </w:r>
      <w:r w:rsidR="00C508E2">
        <w:rPr>
          <w:rFonts w:cs="Times New Roman"/>
        </w:rPr>
        <w:t>, training caregivers in basic behavioral management skills</w:t>
      </w:r>
      <w:r w:rsidR="005B2D43">
        <w:rPr>
          <w:rFonts w:cs="Times New Roman"/>
        </w:rPr>
        <w:t xml:space="preserve"> could be critically important.</w:t>
      </w:r>
      <w:r w:rsidR="00C508E2">
        <w:rPr>
          <w:rFonts w:cs="Times New Roman"/>
        </w:rPr>
        <w:t xml:space="preserve"> </w:t>
      </w:r>
      <w:r>
        <w:rPr>
          <w:rFonts w:cs="Times New Roman"/>
        </w:rPr>
        <w:t>One innovative approach to training caregivers, especially unpaid ones (e.g., family members, spouses)</w:t>
      </w:r>
      <w:r w:rsidR="00C508E2">
        <w:rPr>
          <w:rFonts w:cs="Times New Roman"/>
        </w:rPr>
        <w:t>, is</w:t>
      </w:r>
      <w:r>
        <w:rPr>
          <w:rFonts w:cs="Times New Roman"/>
        </w:rPr>
        <w:t xml:space="preserve"> the </w:t>
      </w:r>
      <w:r w:rsidR="00C508E2">
        <w:rPr>
          <w:rFonts w:cs="Times New Roman"/>
        </w:rPr>
        <w:t xml:space="preserve">suite of </w:t>
      </w:r>
      <w:r>
        <w:rPr>
          <w:rFonts w:cs="Times New Roman"/>
        </w:rPr>
        <w:t>on-demand training videos developed by the BCAT Research Center.</w:t>
      </w:r>
      <w:r w:rsidR="00A3541B">
        <w:rPr>
          <w:rFonts w:cs="Times New Roman"/>
        </w:rPr>
        <w:t xml:space="preserve"> </w:t>
      </w:r>
      <w:r w:rsidR="00C935FC">
        <w:rPr>
          <w:rFonts w:cs="Times New Roman"/>
        </w:rPr>
        <w:t xml:space="preserve">These videos, called </w:t>
      </w:r>
      <w:proofErr w:type="spellStart"/>
      <w:r w:rsidR="00C935FC" w:rsidRPr="00523103">
        <w:rPr>
          <w:rFonts w:cs="Times New Roman"/>
          <w:i/>
        </w:rPr>
        <w:t>iCARE</w:t>
      </w:r>
      <w:proofErr w:type="spellEnd"/>
      <w:r w:rsidR="00C935FC" w:rsidRPr="00523103">
        <w:rPr>
          <w:rFonts w:cs="Times New Roman"/>
          <w:i/>
        </w:rPr>
        <w:t xml:space="preserve"> @ HOME</w:t>
      </w:r>
      <w:r w:rsidR="00C935FC">
        <w:rPr>
          <w:rFonts w:cs="Times New Roman"/>
        </w:rPr>
        <w:t>, focus on behavioral management and meaningful engagement skills.</w:t>
      </w:r>
      <w:r w:rsidR="00A3541B">
        <w:rPr>
          <w:rFonts w:cs="Times New Roman"/>
        </w:rPr>
        <w:t xml:space="preserve"> </w:t>
      </w:r>
      <w:r w:rsidR="00C27E0A">
        <w:rPr>
          <w:rFonts w:cs="Times New Roman"/>
        </w:rPr>
        <w:t xml:space="preserve">An example of an online video-based </w:t>
      </w:r>
      <w:r w:rsidR="00C27E0A">
        <w:rPr>
          <w:rFonts w:cs="Times New Roman"/>
        </w:rPr>
        <w:lastRenderedPageBreak/>
        <w:t>resource that is</w:t>
      </w:r>
      <w:r w:rsidR="005514F8">
        <w:rPr>
          <w:rFonts w:cs="Times New Roman"/>
        </w:rPr>
        <w:t xml:space="preserve"> less </w:t>
      </w:r>
      <w:r w:rsidR="004B3C60">
        <w:rPr>
          <w:rFonts w:cs="Times New Roman"/>
        </w:rPr>
        <w:t xml:space="preserve">concerned with training </w:t>
      </w:r>
      <w:r w:rsidR="005514F8">
        <w:rPr>
          <w:rFonts w:cs="Times New Roman"/>
        </w:rPr>
        <w:t xml:space="preserve">and </w:t>
      </w:r>
      <w:r w:rsidR="004B3C60">
        <w:rPr>
          <w:rFonts w:cs="Times New Roman"/>
        </w:rPr>
        <w:t xml:space="preserve">focuses </w:t>
      </w:r>
      <w:r w:rsidR="005514F8">
        <w:rPr>
          <w:rFonts w:cs="Times New Roman"/>
        </w:rPr>
        <w:t xml:space="preserve">more </w:t>
      </w:r>
      <w:r w:rsidR="004B3C60">
        <w:rPr>
          <w:rFonts w:cs="Times New Roman"/>
        </w:rPr>
        <w:t>on</w:t>
      </w:r>
      <w:r w:rsidR="005514F8">
        <w:rPr>
          <w:rFonts w:cs="Times New Roman"/>
        </w:rPr>
        <w:t xml:space="preserve"> support</w:t>
      </w:r>
      <w:r w:rsidR="00C27E0A">
        <w:rPr>
          <w:rFonts w:cs="Times New Roman"/>
        </w:rPr>
        <w:t xml:space="preserve"> is the video caregiving program sponsored by the Retirement Research Foundation (</w:t>
      </w:r>
      <w:hyperlink r:id="rId8" w:history="1">
        <w:r w:rsidR="00C27E0A" w:rsidRPr="00ED07D3">
          <w:rPr>
            <w:rStyle w:val="Hyperlink"/>
            <w:rFonts w:cs="Times New Roman"/>
          </w:rPr>
          <w:t>www.videocaring.org</w:t>
        </w:r>
      </w:hyperlink>
      <w:r w:rsidR="00C27E0A">
        <w:rPr>
          <w:rFonts w:cs="Times New Roman"/>
        </w:rPr>
        <w:t>).</w:t>
      </w:r>
      <w:r w:rsidR="00723EB5">
        <w:rPr>
          <w:rFonts w:cs="Times New Roman"/>
        </w:rPr>
        <w:t xml:space="preserve"> </w:t>
      </w:r>
      <w:r w:rsidR="004428C2">
        <w:rPr>
          <w:rFonts w:cs="Times New Roman"/>
        </w:rPr>
        <w:t>Another resource that provides educational videos can be found at the Alzheimer’s Association website (</w:t>
      </w:r>
      <w:hyperlink r:id="rId9" w:anchor="videos" w:history="1">
        <w:r w:rsidR="004428C2" w:rsidRPr="00ED07D3">
          <w:rPr>
            <w:rStyle w:val="Hyperlink"/>
            <w:rFonts w:cs="Times New Roman"/>
          </w:rPr>
          <w:t>http://www.alz.org/maryland/in_my_community_16103.asp#videos</w:t>
        </w:r>
      </w:hyperlink>
      <w:r w:rsidR="004428C2">
        <w:rPr>
          <w:rFonts w:cs="Times New Roman"/>
        </w:rPr>
        <w:t>).</w:t>
      </w:r>
    </w:p>
    <w:p w14:paraId="2ABF2F76" w14:textId="0D9742C5" w:rsidR="002807CB" w:rsidRPr="000E7469" w:rsidRDefault="004B3C60" w:rsidP="000E7469">
      <w:pPr>
        <w:spacing w:line="480" w:lineRule="auto"/>
        <w:rPr>
          <w:rFonts w:cs="Times New Roman"/>
          <w:b/>
        </w:rPr>
      </w:pPr>
      <w:r>
        <w:rPr>
          <w:rFonts w:cs="Times New Roman"/>
          <w:b/>
        </w:rPr>
        <w:t>Recommendation #5: Discharge planning should include a formal cognitive instrument to assess current functioning and i</w:t>
      </w:r>
      <w:r w:rsidR="002807CB" w:rsidRPr="000E7469">
        <w:rPr>
          <w:rFonts w:cs="Times New Roman"/>
          <w:b/>
        </w:rPr>
        <w:t xml:space="preserve">ncorporate the </w:t>
      </w:r>
      <w:r>
        <w:rPr>
          <w:rFonts w:cs="Times New Roman"/>
          <w:b/>
        </w:rPr>
        <w:t>data into the p</w:t>
      </w:r>
      <w:r w:rsidR="002807CB" w:rsidRPr="000E7469">
        <w:rPr>
          <w:rFonts w:cs="Times New Roman"/>
          <w:b/>
        </w:rPr>
        <w:t>lan</w:t>
      </w:r>
    </w:p>
    <w:p w14:paraId="6AE84997" w14:textId="69BA88FE" w:rsidR="001A0F6B" w:rsidRPr="005C0952" w:rsidRDefault="002807CB" w:rsidP="00855B09">
      <w:pPr>
        <w:autoSpaceDE w:val="0"/>
        <w:autoSpaceDN w:val="0"/>
        <w:adjustRightInd w:val="0"/>
        <w:spacing w:line="480" w:lineRule="auto"/>
        <w:rPr>
          <w:rFonts w:cs="Times New Roman"/>
        </w:rPr>
      </w:pPr>
      <w:r w:rsidRPr="000E7469">
        <w:rPr>
          <w:rFonts w:cs="Times New Roman"/>
          <w:b/>
        </w:rPr>
        <w:tab/>
      </w:r>
      <w:r w:rsidRPr="000E7469">
        <w:rPr>
          <w:rFonts w:cs="Times New Roman"/>
        </w:rPr>
        <w:t xml:space="preserve">Fifty-seven percent of the </w:t>
      </w:r>
      <w:r w:rsidR="002338E3">
        <w:rPr>
          <w:rFonts w:cs="Times New Roman"/>
        </w:rPr>
        <w:t>participants</w:t>
      </w:r>
      <w:r w:rsidRPr="000E7469">
        <w:rPr>
          <w:rFonts w:cs="Times New Roman"/>
        </w:rPr>
        <w:t xml:space="preserve"> indicated that they do not routinely use cognitive instruments (other than the BIMS) as part of nursing home discharge planning.</w:t>
      </w:r>
      <w:r w:rsidR="007F0216" w:rsidRPr="000E7469">
        <w:rPr>
          <w:rFonts w:cs="Times New Roman"/>
        </w:rPr>
        <w:t xml:space="preserve"> </w:t>
      </w:r>
      <w:r w:rsidRPr="000E7469">
        <w:rPr>
          <w:rFonts w:cs="Times New Roman"/>
        </w:rPr>
        <w:t>Yet, they reported that cognitive impairment places residents at particular risk for improper medication management (92%), hospital readmission (92%), missed doctor appointments (88%), and falls (96%).</w:t>
      </w:r>
      <w:r w:rsidR="007F0216" w:rsidRPr="000E7469">
        <w:rPr>
          <w:rFonts w:cs="Times New Roman"/>
        </w:rPr>
        <w:t xml:space="preserve"> </w:t>
      </w:r>
      <w:r w:rsidR="00700AA8" w:rsidRPr="000E7469">
        <w:rPr>
          <w:rFonts w:cs="Times New Roman"/>
        </w:rPr>
        <w:t>It is possible that improvement in these adverse events may be enhanced when discharge planners (or a member of the team) administer a cognitive instrument that is sensitive to memory and executive abilities</w:t>
      </w:r>
      <w:r w:rsidR="00ED07D3">
        <w:rPr>
          <w:rFonts w:cs="Times New Roman"/>
        </w:rPr>
        <w:t xml:space="preserve"> </w:t>
      </w:r>
      <w:r w:rsidR="00ED07D3" w:rsidRPr="000E7469">
        <w:rPr>
          <w:rFonts w:cs="Times New Roman"/>
        </w:rPr>
        <w:t>shortly before discharge</w:t>
      </w:r>
      <w:r w:rsidR="00700AA8" w:rsidRPr="000E7469">
        <w:rPr>
          <w:rFonts w:cs="Times New Roman"/>
        </w:rPr>
        <w:t>.</w:t>
      </w:r>
      <w:r w:rsidR="007F0216" w:rsidRPr="000E7469">
        <w:rPr>
          <w:rFonts w:cs="Times New Roman"/>
        </w:rPr>
        <w:t xml:space="preserve"> </w:t>
      </w:r>
      <w:r w:rsidR="0086277D" w:rsidRPr="000E7469">
        <w:rPr>
          <w:rFonts w:cs="Times New Roman"/>
        </w:rPr>
        <w:t>Both</w:t>
      </w:r>
      <w:r w:rsidR="00700AA8" w:rsidRPr="000E7469">
        <w:rPr>
          <w:rFonts w:cs="Times New Roman"/>
        </w:rPr>
        <w:t xml:space="preserve"> cognitive domains have been demonstrated to predict ADL and IADL risks</w:t>
      </w:r>
      <w:r w:rsidR="00F4499F" w:rsidRPr="000E7469">
        <w:rPr>
          <w:rFonts w:cs="Times New Roman"/>
        </w:rPr>
        <w:t>.</w:t>
      </w:r>
      <w:r w:rsidR="00700AA8" w:rsidRPr="000E7469">
        <w:rPr>
          <w:rFonts w:cs="Times New Roman"/>
          <w:vertAlign w:val="superscript"/>
        </w:rPr>
        <w:t>1</w:t>
      </w:r>
      <w:r w:rsidR="001A0F6B" w:rsidRPr="000E7469">
        <w:rPr>
          <w:rFonts w:cs="Times New Roman"/>
          <w:vertAlign w:val="superscript"/>
        </w:rPr>
        <w:t>0</w:t>
      </w:r>
      <w:r w:rsidR="00EB522F">
        <w:rPr>
          <w:rFonts w:cs="Times New Roman"/>
        </w:rPr>
        <w:t xml:space="preserve"> </w:t>
      </w:r>
      <w:proofErr w:type="gramStart"/>
      <w:r w:rsidR="00EB522F">
        <w:rPr>
          <w:rFonts w:cs="Times New Roman"/>
        </w:rPr>
        <w:t>There</w:t>
      </w:r>
      <w:proofErr w:type="gramEnd"/>
      <w:r w:rsidR="005C0952">
        <w:rPr>
          <w:rFonts w:cs="Times New Roman"/>
        </w:rPr>
        <w:t xml:space="preserve"> </w:t>
      </w:r>
      <w:r w:rsidR="00EB522F">
        <w:rPr>
          <w:rFonts w:cs="Times New Roman"/>
        </w:rPr>
        <w:t xml:space="preserve">are </w:t>
      </w:r>
      <w:r w:rsidR="005C0952">
        <w:rPr>
          <w:rFonts w:cs="Times New Roman"/>
        </w:rPr>
        <w:t>challenges in relying on BIMS scores as the primary cognitive instrum</w:t>
      </w:r>
      <w:r w:rsidR="00855B09">
        <w:rPr>
          <w:rFonts w:cs="Times New Roman"/>
        </w:rPr>
        <w:t xml:space="preserve">ent for discharging residents. </w:t>
      </w:r>
      <w:r w:rsidR="0096158C">
        <w:rPr>
          <w:rFonts w:cs="Times New Roman"/>
        </w:rPr>
        <w:t>W</w:t>
      </w:r>
      <w:r w:rsidR="00EB522F">
        <w:rPr>
          <w:rFonts w:cs="Times New Roman"/>
        </w:rPr>
        <w:t>hile the BIMS</w:t>
      </w:r>
      <w:r w:rsidR="005C0952">
        <w:rPr>
          <w:rFonts w:cs="Times New Roman"/>
        </w:rPr>
        <w:t xml:space="preserve"> </w:t>
      </w:r>
      <w:r w:rsidR="0096158C">
        <w:rPr>
          <w:rFonts w:cs="Times New Roman"/>
        </w:rPr>
        <w:t>can</w:t>
      </w:r>
      <w:r w:rsidR="00EB522F">
        <w:rPr>
          <w:rFonts w:cs="Times New Roman"/>
        </w:rPr>
        <w:t xml:space="preserve"> identify residents with severe cognitive impairment, its ability to correctly identify residents with </w:t>
      </w:r>
      <w:r w:rsidR="0096158C">
        <w:rPr>
          <w:rFonts w:cs="Times New Roman"/>
        </w:rPr>
        <w:t>milder cognitive</w:t>
      </w:r>
      <w:r w:rsidR="00EB522F">
        <w:rPr>
          <w:rFonts w:cs="Times New Roman"/>
        </w:rPr>
        <w:t xml:space="preserve"> impairment is </w:t>
      </w:r>
      <w:r w:rsidR="00855B09">
        <w:rPr>
          <w:rFonts w:cs="Times New Roman"/>
        </w:rPr>
        <w:t>more limited.</w:t>
      </w:r>
      <w:r w:rsidR="0096158C">
        <w:rPr>
          <w:rFonts w:cs="Times New Roman"/>
          <w:vertAlign w:val="superscript"/>
        </w:rPr>
        <w:t>11</w:t>
      </w:r>
      <w:r w:rsidR="00855B09">
        <w:rPr>
          <w:rFonts w:cs="Times New Roman"/>
        </w:rPr>
        <w:t xml:space="preserve"> </w:t>
      </w:r>
      <w:proofErr w:type="gramStart"/>
      <w:r w:rsidR="0008344C">
        <w:rPr>
          <w:rFonts w:cs="Times New Roman"/>
        </w:rPr>
        <w:t>We</w:t>
      </w:r>
      <w:proofErr w:type="gramEnd"/>
      <w:r w:rsidR="0008344C">
        <w:rPr>
          <w:rFonts w:cs="Times New Roman"/>
        </w:rPr>
        <w:t xml:space="preserve"> recommend adding a cognitive instrument to the discharge planning </w:t>
      </w:r>
      <w:r w:rsidR="005A59B5">
        <w:rPr>
          <w:rFonts w:cs="Times New Roman"/>
        </w:rPr>
        <w:t xml:space="preserve">process </w:t>
      </w:r>
      <w:r w:rsidR="0008344C">
        <w:rPr>
          <w:rFonts w:cs="Times New Roman"/>
        </w:rPr>
        <w:t>that has more predictive power.</w:t>
      </w:r>
      <w:r w:rsidR="00A3541B">
        <w:rPr>
          <w:rFonts w:cs="Times New Roman"/>
        </w:rPr>
        <w:t xml:space="preserve"> </w:t>
      </w:r>
      <w:r w:rsidR="0008344C">
        <w:rPr>
          <w:rFonts w:cs="Times New Roman"/>
        </w:rPr>
        <w:t xml:space="preserve">For example, the </w:t>
      </w:r>
      <w:r w:rsidR="00A16C62">
        <w:rPr>
          <w:rFonts w:cs="Times New Roman"/>
        </w:rPr>
        <w:t>Brief Cognitive Assessment Tool (</w:t>
      </w:r>
      <w:r w:rsidR="0008344C">
        <w:rPr>
          <w:rFonts w:cs="Times New Roman"/>
        </w:rPr>
        <w:t>BCAT</w:t>
      </w:r>
      <w:r w:rsidR="00A16C62">
        <w:rPr>
          <w:rFonts w:cs="Times New Roman"/>
        </w:rPr>
        <w:t>)</w:t>
      </w:r>
      <w:r w:rsidR="0008344C">
        <w:rPr>
          <w:rFonts w:cs="Times New Roman"/>
        </w:rPr>
        <w:t xml:space="preserve"> </w:t>
      </w:r>
      <w:r w:rsidR="005A59B5">
        <w:rPr>
          <w:rFonts w:cs="Times New Roman"/>
        </w:rPr>
        <w:t>has been found to predict</w:t>
      </w:r>
      <w:r w:rsidR="0008344C">
        <w:rPr>
          <w:rFonts w:cs="Times New Roman"/>
        </w:rPr>
        <w:t xml:space="preserve"> an additional 47% of the variance in cognitive diagnoses over and above the BIMS scores.</w:t>
      </w:r>
      <w:r w:rsidR="0096158C">
        <w:rPr>
          <w:rFonts w:cs="Times New Roman"/>
          <w:vertAlign w:val="superscript"/>
        </w:rPr>
        <w:t>11</w:t>
      </w:r>
      <w:r w:rsidR="0008344C">
        <w:rPr>
          <w:rFonts w:cs="Times New Roman"/>
        </w:rPr>
        <w:t xml:space="preserve"> </w:t>
      </w:r>
    </w:p>
    <w:p w14:paraId="0A4F4525" w14:textId="6821B2C9" w:rsidR="00EC1CDF" w:rsidRPr="000E7469" w:rsidRDefault="004278CC" w:rsidP="000E7469">
      <w:pPr>
        <w:spacing w:line="480" w:lineRule="auto"/>
        <w:rPr>
          <w:rFonts w:cs="Times New Roman"/>
        </w:rPr>
      </w:pPr>
      <w:r w:rsidRPr="000E7469">
        <w:rPr>
          <w:rFonts w:cs="Times New Roman"/>
          <w:b/>
        </w:rPr>
        <w:t xml:space="preserve">Recommendation #6: </w:t>
      </w:r>
      <w:r w:rsidR="00BF6FE7">
        <w:rPr>
          <w:rFonts w:cs="Times New Roman"/>
          <w:b/>
        </w:rPr>
        <w:t>Encourage</w:t>
      </w:r>
      <w:r w:rsidR="003D083E" w:rsidRPr="000E7469">
        <w:rPr>
          <w:rFonts w:cs="Times New Roman"/>
          <w:b/>
        </w:rPr>
        <w:t xml:space="preserve"> </w:t>
      </w:r>
      <w:r w:rsidR="00BF6FE7">
        <w:rPr>
          <w:rFonts w:cs="Times New Roman"/>
          <w:b/>
        </w:rPr>
        <w:t>spousal c</w:t>
      </w:r>
      <w:r w:rsidR="00EC1CDF" w:rsidRPr="000E7469">
        <w:rPr>
          <w:rFonts w:cs="Times New Roman"/>
          <w:b/>
        </w:rPr>
        <w:t xml:space="preserve">aregivers </w:t>
      </w:r>
      <w:r w:rsidR="00BF6FE7">
        <w:rPr>
          <w:rFonts w:cs="Times New Roman"/>
          <w:b/>
        </w:rPr>
        <w:t>to</w:t>
      </w:r>
      <w:r w:rsidR="00EC1CDF" w:rsidRPr="000E7469">
        <w:rPr>
          <w:rFonts w:cs="Times New Roman"/>
          <w:b/>
        </w:rPr>
        <w:t xml:space="preserve"> participate</w:t>
      </w:r>
      <w:r w:rsidR="003D083E" w:rsidRPr="000E7469">
        <w:rPr>
          <w:rFonts w:cs="Times New Roman"/>
          <w:b/>
        </w:rPr>
        <w:t xml:space="preserve"> in </w:t>
      </w:r>
      <w:r w:rsidR="00BF6FE7">
        <w:rPr>
          <w:rFonts w:cs="Times New Roman"/>
          <w:b/>
        </w:rPr>
        <w:t>a cognitive self-assessment or f</w:t>
      </w:r>
      <w:r w:rsidR="003D083E" w:rsidRPr="000E7469">
        <w:rPr>
          <w:rFonts w:cs="Times New Roman"/>
          <w:b/>
        </w:rPr>
        <w:t xml:space="preserve">ormal </w:t>
      </w:r>
      <w:r w:rsidR="00BF6FE7">
        <w:rPr>
          <w:rFonts w:cs="Times New Roman"/>
          <w:b/>
        </w:rPr>
        <w:t>cognitive a</w:t>
      </w:r>
      <w:r w:rsidR="003D083E" w:rsidRPr="000E7469">
        <w:rPr>
          <w:rFonts w:cs="Times New Roman"/>
          <w:b/>
        </w:rPr>
        <w:t xml:space="preserve">ssessment </w:t>
      </w:r>
      <w:r w:rsidR="00BF6FE7">
        <w:rPr>
          <w:rFonts w:cs="Times New Roman"/>
          <w:b/>
        </w:rPr>
        <w:t>as part of the resident’s discharge p</w:t>
      </w:r>
      <w:r w:rsidR="00EC1CDF" w:rsidRPr="000E7469">
        <w:rPr>
          <w:rFonts w:cs="Times New Roman"/>
          <w:b/>
        </w:rPr>
        <w:t>lan</w:t>
      </w:r>
    </w:p>
    <w:p w14:paraId="0F01B59B" w14:textId="32983CC9" w:rsidR="000D73D5" w:rsidRPr="000E7469" w:rsidRDefault="00EC1CDF" w:rsidP="000E7469">
      <w:pPr>
        <w:spacing w:line="480" w:lineRule="auto"/>
        <w:rPr>
          <w:rFonts w:cs="Times New Roman"/>
        </w:rPr>
      </w:pPr>
      <w:r w:rsidRPr="000E7469">
        <w:rPr>
          <w:rFonts w:cs="Times New Roman"/>
          <w:b/>
        </w:rPr>
        <w:lastRenderedPageBreak/>
        <w:tab/>
      </w:r>
      <w:r w:rsidRPr="000E7469">
        <w:rPr>
          <w:rFonts w:cs="Times New Roman"/>
        </w:rPr>
        <w:t>The importance of caregivers for persons with dementia or significant cognitive impairment i</w:t>
      </w:r>
      <w:r w:rsidR="00B6436D" w:rsidRPr="000E7469">
        <w:rPr>
          <w:rFonts w:cs="Times New Roman"/>
        </w:rPr>
        <w:t>s hard to overstate.</w:t>
      </w:r>
      <w:r w:rsidR="007F0216" w:rsidRPr="000E7469">
        <w:rPr>
          <w:rFonts w:cs="Times New Roman"/>
        </w:rPr>
        <w:t xml:space="preserve"> </w:t>
      </w:r>
      <w:r w:rsidR="00B6436D" w:rsidRPr="000E7469">
        <w:rPr>
          <w:rFonts w:cs="Times New Roman"/>
        </w:rPr>
        <w:t>T</w:t>
      </w:r>
      <w:r w:rsidRPr="000E7469">
        <w:rPr>
          <w:rFonts w:cs="Times New Roman"/>
        </w:rPr>
        <w:t>he Alzheimer’s Association reports that there are over 15 million unpaid caregivers supporting 5 million people with dementia</w:t>
      </w:r>
      <w:r w:rsidR="0029581A">
        <w:rPr>
          <w:rFonts w:cs="Times New Roman"/>
        </w:rPr>
        <w:t xml:space="preserve"> in the US</w:t>
      </w:r>
      <w:r w:rsidR="00F4499F" w:rsidRPr="000E7469">
        <w:rPr>
          <w:rFonts w:cs="Times New Roman"/>
        </w:rPr>
        <w:t>.</w:t>
      </w:r>
      <w:r w:rsidR="00B06CC9" w:rsidRPr="000E7469">
        <w:rPr>
          <w:rFonts w:cs="Times New Roman"/>
          <w:vertAlign w:val="superscript"/>
        </w:rPr>
        <w:t>1</w:t>
      </w:r>
      <w:r w:rsidR="005A59B5">
        <w:rPr>
          <w:rFonts w:cs="Times New Roman"/>
          <w:vertAlign w:val="superscript"/>
        </w:rPr>
        <w:t>2</w:t>
      </w:r>
      <w:r w:rsidR="007F0216" w:rsidRPr="000E7469">
        <w:rPr>
          <w:rFonts w:cs="Times New Roman"/>
        </w:rPr>
        <w:t xml:space="preserve"> </w:t>
      </w:r>
      <w:r w:rsidR="00B6436D" w:rsidRPr="000E7469">
        <w:rPr>
          <w:rFonts w:cs="Times New Roman"/>
        </w:rPr>
        <w:t>How capable are these caregivers?</w:t>
      </w:r>
      <w:r w:rsidR="007F0216" w:rsidRPr="000E7469">
        <w:rPr>
          <w:rFonts w:cs="Times New Roman"/>
        </w:rPr>
        <w:t xml:space="preserve"> </w:t>
      </w:r>
      <w:r w:rsidR="00B6436D" w:rsidRPr="000E7469">
        <w:rPr>
          <w:rFonts w:cs="Times New Roman"/>
        </w:rPr>
        <w:t>Recent studies show that there is cause for concern.</w:t>
      </w:r>
      <w:r w:rsidR="007F0216" w:rsidRPr="000E7469">
        <w:rPr>
          <w:rFonts w:cs="Times New Roman"/>
        </w:rPr>
        <w:t xml:space="preserve"> </w:t>
      </w:r>
      <w:r w:rsidR="00B6436D" w:rsidRPr="000E7469">
        <w:rPr>
          <w:rFonts w:cs="Times New Roman"/>
        </w:rPr>
        <w:t>There is growing evidence that spousal caregivers often have cognitive deficits, and these deficits may be further compromised by caring for loved ones who have dementia</w:t>
      </w:r>
      <w:r w:rsidR="00F4499F" w:rsidRPr="000E7469">
        <w:rPr>
          <w:rFonts w:cs="Times New Roman"/>
        </w:rPr>
        <w:t>.</w:t>
      </w:r>
      <w:r w:rsidR="00B6436D" w:rsidRPr="000E7469">
        <w:rPr>
          <w:rFonts w:cs="Times New Roman"/>
          <w:vertAlign w:val="superscript"/>
        </w:rPr>
        <w:t>1</w:t>
      </w:r>
      <w:r w:rsidR="005A59B5">
        <w:rPr>
          <w:rFonts w:cs="Times New Roman"/>
          <w:vertAlign w:val="superscript"/>
        </w:rPr>
        <w:t>3</w:t>
      </w:r>
      <w:r w:rsidR="007F0216" w:rsidRPr="000E7469">
        <w:rPr>
          <w:rFonts w:cs="Times New Roman"/>
        </w:rPr>
        <w:t xml:space="preserve"> </w:t>
      </w:r>
    </w:p>
    <w:p w14:paraId="3150FA20" w14:textId="47678BBE" w:rsidR="0004394D" w:rsidRPr="000E7469" w:rsidRDefault="00B6436D" w:rsidP="000E7469">
      <w:pPr>
        <w:spacing w:line="480" w:lineRule="auto"/>
        <w:ind w:firstLine="720"/>
        <w:rPr>
          <w:rFonts w:cs="Times New Roman"/>
        </w:rPr>
      </w:pPr>
      <w:r w:rsidRPr="000E7469">
        <w:rPr>
          <w:rFonts w:cs="Times New Roman"/>
        </w:rPr>
        <w:t>In our study, approximately 50% of participants reported that discharging nursing home residents who have cognitive impairment often have a sp</w:t>
      </w:r>
      <w:r w:rsidR="0004394D" w:rsidRPr="000E7469">
        <w:rPr>
          <w:rFonts w:cs="Times New Roman"/>
        </w:rPr>
        <w:t>ousal caregiver. The</w:t>
      </w:r>
      <w:r w:rsidRPr="000E7469">
        <w:rPr>
          <w:rFonts w:cs="Times New Roman"/>
        </w:rPr>
        <w:t xml:space="preserve"> participants estimated that more than half of these caregivers (51%) have some degree of cognitive </w:t>
      </w:r>
      <w:r w:rsidR="0004394D" w:rsidRPr="000E7469">
        <w:rPr>
          <w:rFonts w:cs="Times New Roman"/>
        </w:rPr>
        <w:t>impairment.</w:t>
      </w:r>
      <w:r w:rsidR="007F0216" w:rsidRPr="000E7469">
        <w:rPr>
          <w:rFonts w:cs="Times New Roman"/>
        </w:rPr>
        <w:t xml:space="preserve"> </w:t>
      </w:r>
      <w:r w:rsidR="0004394D" w:rsidRPr="000E7469">
        <w:rPr>
          <w:rFonts w:cs="Times New Roman"/>
        </w:rPr>
        <w:t xml:space="preserve">Seventy-six percent </w:t>
      </w:r>
      <w:r w:rsidRPr="000E7469">
        <w:rPr>
          <w:rFonts w:cs="Times New Roman"/>
        </w:rPr>
        <w:t xml:space="preserve">agreed that cognitive assessment of caregivers would </w:t>
      </w:r>
      <w:r w:rsidR="0004394D" w:rsidRPr="000E7469">
        <w:rPr>
          <w:rFonts w:cs="Times New Roman"/>
        </w:rPr>
        <w:t>likely improve the likelihood of unnecessary hospital readmissions, and 72% thought that spousal assessment would improve medication compliance.</w:t>
      </w:r>
      <w:r w:rsidR="007F0216" w:rsidRPr="000E7469">
        <w:rPr>
          <w:rFonts w:cs="Times New Roman"/>
        </w:rPr>
        <w:t xml:space="preserve"> </w:t>
      </w:r>
      <w:r w:rsidR="0004394D" w:rsidRPr="000E7469">
        <w:rPr>
          <w:rFonts w:cs="Times New Roman"/>
        </w:rPr>
        <w:t xml:space="preserve">Perhaps even more striking, </w:t>
      </w:r>
      <w:r w:rsidR="003250D8">
        <w:rPr>
          <w:rFonts w:cs="Times New Roman"/>
        </w:rPr>
        <w:t xml:space="preserve">only </w:t>
      </w:r>
      <w:r w:rsidR="0004394D" w:rsidRPr="000E7469">
        <w:rPr>
          <w:rFonts w:cs="Times New Roman"/>
        </w:rPr>
        <w:t xml:space="preserve">12% of the participants (or a member of the interdisciplinary team) </w:t>
      </w:r>
      <w:r w:rsidR="006B5FE8" w:rsidRPr="000E7469">
        <w:rPr>
          <w:rFonts w:cs="Times New Roman"/>
        </w:rPr>
        <w:t>formally</w:t>
      </w:r>
      <w:r w:rsidR="0004394D" w:rsidRPr="000E7469">
        <w:rPr>
          <w:rFonts w:cs="Times New Roman"/>
        </w:rPr>
        <w:t xml:space="preserve"> assess spousal caregivers</w:t>
      </w:r>
      <w:r w:rsidR="003250D8">
        <w:rPr>
          <w:rFonts w:cs="Times New Roman"/>
        </w:rPr>
        <w:t xml:space="preserve">’ cognitive </w:t>
      </w:r>
      <w:r w:rsidR="00DC7FC4">
        <w:rPr>
          <w:rFonts w:cs="Times New Roman"/>
        </w:rPr>
        <w:t>functioning</w:t>
      </w:r>
      <w:r w:rsidR="0004394D" w:rsidRPr="000E7469">
        <w:rPr>
          <w:rFonts w:cs="Times New Roman"/>
        </w:rPr>
        <w:t>.</w:t>
      </w:r>
      <w:r w:rsidR="007F0216" w:rsidRPr="000E7469">
        <w:rPr>
          <w:rFonts w:cs="Times New Roman"/>
        </w:rPr>
        <w:t xml:space="preserve"> </w:t>
      </w:r>
      <w:r w:rsidR="0004394D" w:rsidRPr="000E7469">
        <w:rPr>
          <w:rFonts w:cs="Times New Roman"/>
        </w:rPr>
        <w:t xml:space="preserve">While 92% of participants agreed that a resident’s discharge process would be improved if the cognitive functioning of spousal caregivers was known prior to discharging the resident, only 16% thought that spousal caregivers would be </w:t>
      </w:r>
      <w:r w:rsidR="0029581A">
        <w:rPr>
          <w:rFonts w:cs="Times New Roman"/>
        </w:rPr>
        <w:t>willing to receive a cognitive</w:t>
      </w:r>
      <w:r w:rsidR="0004394D" w:rsidRPr="000E7469">
        <w:rPr>
          <w:rFonts w:cs="Times New Roman"/>
        </w:rPr>
        <w:t xml:space="preserve"> </w:t>
      </w:r>
      <w:r w:rsidR="0029581A">
        <w:rPr>
          <w:rFonts w:cs="Times New Roman"/>
        </w:rPr>
        <w:t>assessment</w:t>
      </w:r>
      <w:r w:rsidR="0004394D" w:rsidRPr="000E7469">
        <w:rPr>
          <w:rFonts w:cs="Times New Roman"/>
        </w:rPr>
        <w:t>.</w:t>
      </w:r>
      <w:r w:rsidR="007F0216" w:rsidRPr="000E7469">
        <w:rPr>
          <w:rFonts w:cs="Times New Roman"/>
        </w:rPr>
        <w:t xml:space="preserve"> </w:t>
      </w:r>
      <w:r w:rsidR="0062692A" w:rsidRPr="000E7469">
        <w:rPr>
          <w:rFonts w:cs="Times New Roman"/>
        </w:rPr>
        <w:t xml:space="preserve">The degree of resistance spousal caregivers may </w:t>
      </w:r>
      <w:r w:rsidR="000B2280" w:rsidRPr="000E7469">
        <w:rPr>
          <w:rFonts w:cs="Times New Roman"/>
        </w:rPr>
        <w:t>have toward co</w:t>
      </w:r>
      <w:r w:rsidR="00BD7568">
        <w:rPr>
          <w:rFonts w:cs="Times New Roman"/>
        </w:rPr>
        <w:t>g</w:t>
      </w:r>
      <w:r w:rsidR="000B2280" w:rsidRPr="000E7469">
        <w:rPr>
          <w:rFonts w:cs="Times New Roman"/>
        </w:rPr>
        <w:t>ni</w:t>
      </w:r>
      <w:r w:rsidR="00BD7568">
        <w:rPr>
          <w:rFonts w:cs="Times New Roman"/>
        </w:rPr>
        <w:t>ti</w:t>
      </w:r>
      <w:r w:rsidR="000B2280" w:rsidRPr="000E7469">
        <w:rPr>
          <w:rFonts w:cs="Times New Roman"/>
        </w:rPr>
        <w:t>ve self-assessment</w:t>
      </w:r>
      <w:r w:rsidR="007F0216" w:rsidRPr="000E7469">
        <w:rPr>
          <w:rFonts w:cs="Times New Roman"/>
        </w:rPr>
        <w:t xml:space="preserve"> </w:t>
      </w:r>
      <w:r w:rsidR="000B2280" w:rsidRPr="000E7469">
        <w:rPr>
          <w:rFonts w:cs="Times New Roman"/>
        </w:rPr>
        <w:t>warrants further empirical</w:t>
      </w:r>
      <w:r w:rsidR="0062692A" w:rsidRPr="000E7469">
        <w:rPr>
          <w:rFonts w:cs="Times New Roman"/>
        </w:rPr>
        <w:t xml:space="preserve"> investigation. </w:t>
      </w:r>
      <w:r w:rsidR="00BD7568">
        <w:rPr>
          <w:rFonts w:cs="Times New Roman"/>
        </w:rPr>
        <w:t>In the meantime</w:t>
      </w:r>
      <w:r w:rsidR="0062692A" w:rsidRPr="000E7469">
        <w:rPr>
          <w:rFonts w:cs="Times New Roman"/>
        </w:rPr>
        <w:t>, strategies to encourage such assessment need to be developed.</w:t>
      </w:r>
    </w:p>
    <w:p w14:paraId="5EAD0D84" w14:textId="12D4D015" w:rsidR="005D793E" w:rsidRDefault="0035565C" w:rsidP="000E7469">
      <w:pPr>
        <w:spacing w:line="480" w:lineRule="auto"/>
        <w:rPr>
          <w:rFonts w:cs="Times New Roman"/>
        </w:rPr>
      </w:pPr>
      <w:r w:rsidRPr="000E7469">
        <w:rPr>
          <w:rFonts w:cs="Times New Roman"/>
        </w:rPr>
        <w:tab/>
        <w:t>Encouraging spousal caregivers to participate in a cognitive screen may represent a “heavy lift</w:t>
      </w:r>
      <w:r w:rsidR="00BA72AC" w:rsidRPr="000E7469">
        <w:rPr>
          <w:rFonts w:cs="Times New Roman"/>
        </w:rPr>
        <w:t>.</w:t>
      </w:r>
      <w:r w:rsidRPr="000E7469">
        <w:rPr>
          <w:rFonts w:cs="Times New Roman"/>
        </w:rPr>
        <w:t>”</w:t>
      </w:r>
      <w:r w:rsidR="007F0216" w:rsidRPr="000E7469">
        <w:rPr>
          <w:rFonts w:cs="Times New Roman"/>
        </w:rPr>
        <w:t xml:space="preserve"> </w:t>
      </w:r>
      <w:r w:rsidRPr="000E7469">
        <w:rPr>
          <w:rFonts w:cs="Times New Roman"/>
        </w:rPr>
        <w:t>However, willingness to do so may be improved if: (1) older adults truly receive a cognitive assessment during the</w:t>
      </w:r>
      <w:r w:rsidR="0062692A" w:rsidRPr="000E7469">
        <w:rPr>
          <w:rFonts w:cs="Times New Roman"/>
        </w:rPr>
        <w:t>ir Annual Wellness Visits (AWV); one</w:t>
      </w:r>
      <w:r w:rsidRPr="000E7469">
        <w:rPr>
          <w:rFonts w:cs="Times New Roman"/>
        </w:rPr>
        <w:t xml:space="preserve"> of the mandated features of the AWV is cognitive screening, though it appears that this feature has not been routinely or </w:t>
      </w:r>
      <w:r w:rsidRPr="000E7469">
        <w:rPr>
          <w:rFonts w:cs="Times New Roman"/>
        </w:rPr>
        <w:lastRenderedPageBreak/>
        <w:t>adequately addressed</w:t>
      </w:r>
      <w:r w:rsidR="0062692A" w:rsidRPr="000E7469">
        <w:rPr>
          <w:rFonts w:cs="Times New Roman"/>
        </w:rPr>
        <w:t>;</w:t>
      </w:r>
      <w:r w:rsidRPr="000E7469">
        <w:rPr>
          <w:rFonts w:cs="Times New Roman"/>
        </w:rPr>
        <w:t xml:space="preserve"> (2) </w:t>
      </w:r>
      <w:r w:rsidR="0062692A" w:rsidRPr="000E7469">
        <w:rPr>
          <w:rFonts w:cs="Times New Roman"/>
        </w:rPr>
        <w:t>cognitive assessments are offered online from the privacy of one’s home, as these may be more comfortable for spousal caregivers; and (3) nursing home</w:t>
      </w:r>
      <w:r w:rsidR="002432D2">
        <w:rPr>
          <w:rFonts w:cs="Times New Roman"/>
        </w:rPr>
        <w:t>s</w:t>
      </w:r>
      <w:r w:rsidR="0062692A" w:rsidRPr="000E7469">
        <w:rPr>
          <w:rFonts w:cs="Times New Roman"/>
        </w:rPr>
        <w:t xml:space="preserve"> educate families about the frequency of cognitive deficits in caregivers and the possible negative consequences</w:t>
      </w:r>
      <w:r w:rsidR="005D793E" w:rsidRPr="000E7469">
        <w:rPr>
          <w:rFonts w:cs="Times New Roman"/>
        </w:rPr>
        <w:t>.</w:t>
      </w:r>
    </w:p>
    <w:p w14:paraId="0F2CA7E4" w14:textId="07D00D7F" w:rsidR="00DC7FC4" w:rsidRDefault="00DC7FC4" w:rsidP="00DC7FC4">
      <w:pPr>
        <w:spacing w:line="480" w:lineRule="auto"/>
        <w:rPr>
          <w:rFonts w:cs="Times New Roman"/>
          <w:b/>
        </w:rPr>
      </w:pPr>
      <w:bookmarkStart w:id="0" w:name="_GoBack"/>
      <w:r>
        <w:rPr>
          <w:rFonts w:cs="Times New Roman"/>
          <w:b/>
        </w:rPr>
        <w:t>Recommendation #7</w:t>
      </w:r>
      <w:r w:rsidRPr="000E7469">
        <w:rPr>
          <w:rFonts w:cs="Times New Roman"/>
          <w:b/>
        </w:rPr>
        <w:t xml:space="preserve">: </w:t>
      </w:r>
      <w:r>
        <w:rPr>
          <w:rFonts w:cs="Times New Roman"/>
          <w:b/>
        </w:rPr>
        <w:t xml:space="preserve">Improve training of </w:t>
      </w:r>
      <w:r w:rsidR="009E6B8A">
        <w:rPr>
          <w:rFonts w:cs="Times New Roman"/>
          <w:b/>
        </w:rPr>
        <w:t xml:space="preserve">nursing home </w:t>
      </w:r>
      <w:r>
        <w:rPr>
          <w:rFonts w:cs="Times New Roman"/>
          <w:b/>
        </w:rPr>
        <w:t xml:space="preserve">staff by requiring </w:t>
      </w:r>
      <w:r w:rsidR="00965152">
        <w:rPr>
          <w:rFonts w:cs="Times New Roman"/>
          <w:b/>
        </w:rPr>
        <w:t>continuing education that emphasizes</w:t>
      </w:r>
      <w:r>
        <w:rPr>
          <w:rFonts w:cs="Times New Roman"/>
          <w:b/>
        </w:rPr>
        <w:t xml:space="preserve"> meaningful engagement and behavioral management </w:t>
      </w:r>
      <w:r w:rsidR="006710A1">
        <w:rPr>
          <w:rFonts w:cs="Times New Roman"/>
          <w:b/>
        </w:rPr>
        <w:t>skills for</w:t>
      </w:r>
      <w:r>
        <w:rPr>
          <w:rFonts w:cs="Times New Roman"/>
          <w:b/>
        </w:rPr>
        <w:t xml:space="preserve"> residents with cognitive impairments </w:t>
      </w:r>
    </w:p>
    <w:bookmarkEnd w:id="0"/>
    <w:p w14:paraId="7D0B01B1" w14:textId="5202718C" w:rsidR="00EF5375" w:rsidRPr="00DF53AE" w:rsidRDefault="00DC7FC4" w:rsidP="00DC7FC4">
      <w:pPr>
        <w:spacing w:line="480" w:lineRule="auto"/>
        <w:rPr>
          <w:rFonts w:cs="Times New Roman"/>
          <w:vertAlign w:val="superscript"/>
        </w:rPr>
      </w:pPr>
      <w:r>
        <w:rPr>
          <w:rFonts w:cs="Times New Roman"/>
          <w:b/>
        </w:rPr>
        <w:tab/>
      </w:r>
      <w:r w:rsidR="00965152">
        <w:rPr>
          <w:rFonts w:cs="Times New Roman"/>
        </w:rPr>
        <w:t>Hospital to nursing home transfers</w:t>
      </w:r>
      <w:r w:rsidR="008F6C66">
        <w:rPr>
          <w:rFonts w:cs="Times New Roman"/>
        </w:rPr>
        <w:t xml:space="preserve"> </w:t>
      </w:r>
      <w:r w:rsidR="00965152">
        <w:rPr>
          <w:rFonts w:cs="Times New Roman"/>
        </w:rPr>
        <w:t>facilitated by communicating key resident cognitive information can provide a foundation for optimal person-centered care.</w:t>
      </w:r>
      <w:r w:rsidR="009804F3">
        <w:rPr>
          <w:rFonts w:cs="Times New Roman"/>
        </w:rPr>
        <w:t xml:space="preserve"> </w:t>
      </w:r>
      <w:r w:rsidR="00C55A0C">
        <w:rPr>
          <w:rFonts w:cs="Times New Roman"/>
        </w:rPr>
        <w:t>T</w:t>
      </w:r>
      <w:r w:rsidR="00965152">
        <w:rPr>
          <w:rFonts w:cs="Times New Roman"/>
        </w:rPr>
        <w:t>o be truly effective, this information must be communicated to facility staff, especially nursing assistants who provide the majority of personal care to residents.</w:t>
      </w:r>
      <w:r w:rsidR="001E69F8">
        <w:rPr>
          <w:rFonts w:cs="Times New Roman"/>
        </w:rPr>
        <w:t xml:space="preserve"> In addition </w:t>
      </w:r>
      <w:r w:rsidR="00965152">
        <w:rPr>
          <w:rFonts w:cs="Times New Roman"/>
        </w:rPr>
        <w:t>to recogniz</w:t>
      </w:r>
      <w:r w:rsidR="001E69F8">
        <w:rPr>
          <w:rFonts w:cs="Times New Roman"/>
        </w:rPr>
        <w:t>ing</w:t>
      </w:r>
      <w:r w:rsidR="00965152">
        <w:rPr>
          <w:rFonts w:cs="Times New Roman"/>
        </w:rPr>
        <w:t xml:space="preserve"> cognitive impairments in their residents,</w:t>
      </w:r>
      <w:r w:rsidR="001E69F8">
        <w:rPr>
          <w:rFonts w:cs="Times New Roman"/>
        </w:rPr>
        <w:t xml:space="preserve"> nursing staffs</w:t>
      </w:r>
      <w:r w:rsidR="00965152">
        <w:rPr>
          <w:rFonts w:cs="Times New Roman"/>
        </w:rPr>
        <w:t xml:space="preserve"> must also understand how </w:t>
      </w:r>
      <w:r w:rsidR="001E69F8">
        <w:rPr>
          <w:rFonts w:cs="Times New Roman"/>
        </w:rPr>
        <w:t xml:space="preserve">to </w:t>
      </w:r>
      <w:r w:rsidR="009E6B8A">
        <w:rPr>
          <w:rFonts w:cs="Times New Roman"/>
        </w:rPr>
        <w:t>manage</w:t>
      </w:r>
      <w:r w:rsidR="00965152">
        <w:rPr>
          <w:rFonts w:cs="Times New Roman"/>
        </w:rPr>
        <w:t xml:space="preserve"> difficult behaviors (</w:t>
      </w:r>
      <w:r w:rsidR="00C55A0C">
        <w:rPr>
          <w:rFonts w:cs="Times New Roman"/>
        </w:rPr>
        <w:t>i.e., behavioral and psychological symptoms of dementia; BPSD</w:t>
      </w:r>
      <w:r w:rsidR="00965152">
        <w:rPr>
          <w:rFonts w:cs="Times New Roman"/>
        </w:rPr>
        <w:t>) when they emerge.</w:t>
      </w:r>
      <w:r w:rsidR="008336D0">
        <w:rPr>
          <w:rFonts w:cs="Times New Roman"/>
        </w:rPr>
        <w:t xml:space="preserve"> One of the most common BPSD observed in nursing homes is</w:t>
      </w:r>
      <w:r w:rsidR="008336D0" w:rsidDel="008336D0">
        <w:rPr>
          <w:rFonts w:cs="Times New Roman"/>
        </w:rPr>
        <w:t xml:space="preserve"> </w:t>
      </w:r>
      <w:r w:rsidR="008336D0">
        <w:rPr>
          <w:rFonts w:cs="Times New Roman"/>
        </w:rPr>
        <w:t xml:space="preserve">behavioral </w:t>
      </w:r>
      <w:proofErr w:type="spellStart"/>
      <w:r w:rsidR="008336D0">
        <w:rPr>
          <w:rFonts w:cs="Times New Roman"/>
        </w:rPr>
        <w:t>dyscontrol</w:t>
      </w:r>
      <w:proofErr w:type="spellEnd"/>
      <w:r w:rsidR="008336D0">
        <w:rPr>
          <w:rFonts w:cs="Times New Roman"/>
        </w:rPr>
        <w:t>. Caregivers who are trained in behavioral management will reduce the frequency and severity of resident behaviors, and can play a vital role in person-centered care.</w:t>
      </w:r>
      <w:r w:rsidR="008336D0">
        <w:rPr>
          <w:rFonts w:cs="Times New Roman"/>
          <w:vertAlign w:val="superscript"/>
        </w:rPr>
        <w:t>14</w:t>
      </w:r>
    </w:p>
    <w:p w14:paraId="5DEAA2F0" w14:textId="57DE7C50" w:rsidR="00EF5375" w:rsidRDefault="00EF5375" w:rsidP="00DC7FC4">
      <w:pPr>
        <w:spacing w:line="480" w:lineRule="auto"/>
        <w:rPr>
          <w:rFonts w:cs="Times New Roman"/>
        </w:rPr>
      </w:pPr>
      <w:r>
        <w:rPr>
          <w:rFonts w:cs="Times New Roman"/>
        </w:rPr>
        <w:tab/>
      </w:r>
      <w:r w:rsidR="001E69F8">
        <w:rPr>
          <w:rFonts w:cs="Times New Roman"/>
        </w:rPr>
        <w:t xml:space="preserve">Meaningful engagement interventions facilitated by nursing staff is one evidenced-based method for mitigating BPSD. </w:t>
      </w:r>
      <w:r w:rsidR="00E4244B">
        <w:rPr>
          <w:rFonts w:cs="Times New Roman"/>
        </w:rPr>
        <w:t>Meaningful engagement is a construct that refers to the qu</w:t>
      </w:r>
      <w:r>
        <w:rPr>
          <w:rFonts w:cs="Times New Roman"/>
        </w:rPr>
        <w:t>alitative benefits of specific types of interpersonal</w:t>
      </w:r>
      <w:r w:rsidR="00E4244B">
        <w:rPr>
          <w:rFonts w:cs="Times New Roman"/>
        </w:rPr>
        <w:t xml:space="preserve"> </w:t>
      </w:r>
      <w:r>
        <w:rPr>
          <w:rFonts w:cs="Times New Roman"/>
        </w:rPr>
        <w:t xml:space="preserve">or social </w:t>
      </w:r>
      <w:r w:rsidR="00E4244B">
        <w:rPr>
          <w:rFonts w:cs="Times New Roman"/>
        </w:rPr>
        <w:t>experience</w:t>
      </w:r>
      <w:r>
        <w:rPr>
          <w:rFonts w:cs="Times New Roman"/>
        </w:rPr>
        <w:t>s</w:t>
      </w:r>
      <w:r w:rsidR="00E4244B">
        <w:rPr>
          <w:rFonts w:cs="Times New Roman"/>
        </w:rPr>
        <w:t xml:space="preserve">. </w:t>
      </w:r>
      <w:r w:rsidR="002E68E6">
        <w:rPr>
          <w:rFonts w:cs="Times New Roman"/>
        </w:rPr>
        <w:t xml:space="preserve">The need for meaningful engagement is part of human nature. </w:t>
      </w:r>
      <w:r w:rsidR="001E69F8">
        <w:rPr>
          <w:rFonts w:cs="Times New Roman"/>
        </w:rPr>
        <w:t>Research suggest that</w:t>
      </w:r>
      <w:r w:rsidR="00E4244B">
        <w:rPr>
          <w:rFonts w:cs="Times New Roman"/>
        </w:rPr>
        <w:t xml:space="preserve"> residents who experience activities high in meaningful engagement </w:t>
      </w:r>
      <w:r w:rsidR="002E68E6">
        <w:rPr>
          <w:rFonts w:cs="Times New Roman"/>
        </w:rPr>
        <w:t>are healthier physically and psychologically than those who do not.</w:t>
      </w:r>
      <w:r w:rsidR="002E68E6">
        <w:rPr>
          <w:rFonts w:cs="Times New Roman"/>
          <w:vertAlign w:val="superscript"/>
        </w:rPr>
        <w:t>1</w:t>
      </w:r>
      <w:r w:rsidR="008336D0">
        <w:rPr>
          <w:rFonts w:cs="Times New Roman"/>
          <w:vertAlign w:val="superscript"/>
        </w:rPr>
        <w:t>5</w:t>
      </w:r>
      <w:r w:rsidR="002E68E6">
        <w:rPr>
          <w:rFonts w:cs="Times New Roman"/>
        </w:rPr>
        <w:t xml:space="preserve"> </w:t>
      </w:r>
      <w:r w:rsidR="001E69F8">
        <w:rPr>
          <w:rFonts w:cs="Times New Roman"/>
        </w:rPr>
        <w:t xml:space="preserve">Relative to cognitively healthy </w:t>
      </w:r>
      <w:r w:rsidR="0078671F">
        <w:rPr>
          <w:rFonts w:cs="Times New Roman"/>
        </w:rPr>
        <w:t>older adults</w:t>
      </w:r>
      <w:r w:rsidR="006910B3">
        <w:rPr>
          <w:rFonts w:cs="Times New Roman"/>
        </w:rPr>
        <w:t>,</w:t>
      </w:r>
      <w:r w:rsidR="001E69F8">
        <w:rPr>
          <w:rFonts w:cs="Times New Roman"/>
        </w:rPr>
        <w:t xml:space="preserve"> residents with cognitive impairment may not possess the social or mental abilities necessary for seeking out and finding such opportunities. </w:t>
      </w:r>
      <w:r w:rsidR="0078671F">
        <w:rPr>
          <w:rFonts w:cs="Times New Roman"/>
        </w:rPr>
        <w:lastRenderedPageBreak/>
        <w:t>T</w:t>
      </w:r>
      <w:r w:rsidR="006910B3">
        <w:rPr>
          <w:rFonts w:cs="Times New Roman"/>
        </w:rPr>
        <w:t>his fact places a</w:t>
      </w:r>
      <w:r w:rsidR="009E6B8A">
        <w:rPr>
          <w:rFonts w:cs="Times New Roman"/>
        </w:rPr>
        <w:t xml:space="preserve"> direct</w:t>
      </w:r>
      <w:r w:rsidR="006910B3">
        <w:rPr>
          <w:rFonts w:cs="Times New Roman"/>
        </w:rPr>
        <w:t xml:space="preserve"> responsibility on facility staff to create meaningful engagement opportunities for more vulnerable</w:t>
      </w:r>
      <w:r w:rsidR="0078671F">
        <w:rPr>
          <w:rFonts w:cs="Times New Roman"/>
        </w:rPr>
        <w:t xml:space="preserve"> and </w:t>
      </w:r>
      <w:r w:rsidR="006910B3">
        <w:rPr>
          <w:rFonts w:cs="Times New Roman"/>
        </w:rPr>
        <w:t>cognitively challenged resident</w:t>
      </w:r>
      <w:r w:rsidR="0078671F">
        <w:rPr>
          <w:rFonts w:cs="Times New Roman"/>
        </w:rPr>
        <w:t>s</w:t>
      </w:r>
      <w:r w:rsidR="008336D0">
        <w:rPr>
          <w:rFonts w:cs="Times New Roman"/>
        </w:rPr>
        <w:t>.</w:t>
      </w:r>
    </w:p>
    <w:p w14:paraId="749A46EE" w14:textId="1F4CC1D7" w:rsidR="00DC7FC4" w:rsidRDefault="00E4244B" w:rsidP="00EF5375">
      <w:pPr>
        <w:spacing w:line="480" w:lineRule="auto"/>
        <w:ind w:firstLine="720"/>
        <w:rPr>
          <w:rFonts w:cs="Times New Roman"/>
        </w:rPr>
      </w:pPr>
      <w:r>
        <w:rPr>
          <w:rFonts w:cs="Times New Roman"/>
        </w:rPr>
        <w:t>Interactions (e.g., between nursing staff and resident) and activities (e.g. recreation</w:t>
      </w:r>
      <w:r w:rsidR="00EF5375">
        <w:rPr>
          <w:rFonts w:cs="Times New Roman"/>
        </w:rPr>
        <w:t xml:space="preserve"> groups</w:t>
      </w:r>
      <w:r>
        <w:rPr>
          <w:rFonts w:cs="Times New Roman"/>
        </w:rPr>
        <w:t xml:space="preserve">) that are high in meaningful engagement </w:t>
      </w:r>
      <w:r w:rsidR="006910B3">
        <w:rPr>
          <w:rFonts w:cs="Times New Roman"/>
        </w:rPr>
        <w:t xml:space="preserve">emphasize: </w:t>
      </w:r>
      <w:r>
        <w:rPr>
          <w:rFonts w:cs="Times New Roman"/>
        </w:rPr>
        <w:t xml:space="preserve">(1) interpersonal </w:t>
      </w:r>
      <w:r w:rsidR="00D96C84">
        <w:rPr>
          <w:rFonts w:cs="Times New Roman"/>
        </w:rPr>
        <w:t>connections</w:t>
      </w:r>
      <w:r>
        <w:rPr>
          <w:rFonts w:cs="Times New Roman"/>
        </w:rPr>
        <w:t xml:space="preserve"> that fulfill a sense of belonging and affiliation, (2) content that is associated with </w:t>
      </w:r>
      <w:r w:rsidR="00D96C84">
        <w:rPr>
          <w:rFonts w:cs="Times New Roman"/>
        </w:rPr>
        <w:t xml:space="preserve">residents’ </w:t>
      </w:r>
      <w:r w:rsidR="00EF5375">
        <w:rPr>
          <w:rFonts w:cs="Times New Roman"/>
        </w:rPr>
        <w:t>past</w:t>
      </w:r>
      <w:r>
        <w:rPr>
          <w:rFonts w:cs="Times New Roman"/>
        </w:rPr>
        <w:t xml:space="preserve"> r</w:t>
      </w:r>
      <w:r w:rsidR="00D96C84">
        <w:rPr>
          <w:rFonts w:cs="Times New Roman"/>
        </w:rPr>
        <w:t xml:space="preserve">oles and interests, (3) </w:t>
      </w:r>
      <w:r w:rsidR="007D7ABF">
        <w:rPr>
          <w:rFonts w:cs="Times New Roman"/>
        </w:rPr>
        <w:t xml:space="preserve">activation of </w:t>
      </w:r>
      <w:r>
        <w:rPr>
          <w:rFonts w:cs="Times New Roman"/>
        </w:rPr>
        <w:t xml:space="preserve">old and preserved memories, and (4) </w:t>
      </w:r>
      <w:r w:rsidR="004D2397">
        <w:rPr>
          <w:rFonts w:cs="Times New Roman"/>
        </w:rPr>
        <w:t>active</w:t>
      </w:r>
      <w:r w:rsidR="00D96C84">
        <w:rPr>
          <w:rFonts w:cs="Times New Roman"/>
        </w:rPr>
        <w:t xml:space="preserve"> </w:t>
      </w:r>
      <w:r w:rsidR="009E6B8A">
        <w:rPr>
          <w:rFonts w:cs="Times New Roman"/>
        </w:rPr>
        <w:t xml:space="preserve">resident </w:t>
      </w:r>
      <w:r w:rsidR="00D96C84">
        <w:rPr>
          <w:rFonts w:cs="Times New Roman"/>
        </w:rPr>
        <w:t>participation.</w:t>
      </w:r>
      <w:r w:rsidR="00EF5375">
        <w:rPr>
          <w:rFonts w:cs="Times New Roman"/>
        </w:rPr>
        <w:t xml:space="preserve"> </w:t>
      </w:r>
      <w:r w:rsidR="00AD4BDE">
        <w:rPr>
          <w:rFonts w:cs="Times New Roman"/>
        </w:rPr>
        <w:t>Opportunities for meaningful engagement occur both informally and formally.</w:t>
      </w:r>
      <w:r w:rsidR="009804F3">
        <w:rPr>
          <w:rFonts w:cs="Times New Roman"/>
        </w:rPr>
        <w:t xml:space="preserve"> </w:t>
      </w:r>
      <w:r w:rsidR="00AD4BDE">
        <w:rPr>
          <w:rFonts w:cs="Times New Roman"/>
        </w:rPr>
        <w:t xml:space="preserve">Informal opportunities include nursing aides helping residents with their personal care. Formal opportunities occur during structured recreation activities. </w:t>
      </w:r>
    </w:p>
    <w:p w14:paraId="307E8215" w14:textId="6B776510" w:rsidR="002432D2" w:rsidRPr="00DC1F4C" w:rsidRDefault="002432D2" w:rsidP="00DC1F4C">
      <w:pPr>
        <w:spacing w:line="480" w:lineRule="auto"/>
        <w:jc w:val="center"/>
        <w:rPr>
          <w:rFonts w:cs="Times New Roman"/>
          <w:b/>
        </w:rPr>
      </w:pPr>
      <w:r w:rsidRPr="00DC1F4C">
        <w:rPr>
          <w:rFonts w:cs="Times New Roman"/>
          <w:b/>
        </w:rPr>
        <w:t>Conclusion</w:t>
      </w:r>
    </w:p>
    <w:p w14:paraId="29DC1DAC" w14:textId="3BA6F617" w:rsidR="005C59F7" w:rsidRDefault="002432D2" w:rsidP="00F84ED2">
      <w:pPr>
        <w:spacing w:line="480" w:lineRule="auto"/>
        <w:ind w:firstLine="720"/>
        <w:rPr>
          <w:rFonts w:cs="Times New Roman"/>
        </w:rPr>
      </w:pPr>
      <w:r>
        <w:rPr>
          <w:rFonts w:cs="Times New Roman"/>
        </w:rPr>
        <w:t>We hope that the information presented in this report will contribute to improvement in care transitions for patients leaving hospitals for nursing homes, and again for residents leaving nursing homes for their community dwellings. It is clear that in both care transitions, cognitive and mood functioning is not adequately or routinely assessed and integrated into t</w:t>
      </w:r>
      <w:r w:rsidR="00344EC5">
        <w:rPr>
          <w:rFonts w:cs="Times New Roman"/>
        </w:rPr>
        <w:t xml:space="preserve">he discharge planning process. </w:t>
      </w:r>
      <w:r>
        <w:rPr>
          <w:rFonts w:cs="Times New Roman"/>
        </w:rPr>
        <w:t xml:space="preserve">A next step for improving care transitions is to share the </w:t>
      </w:r>
      <w:r w:rsidR="00797021">
        <w:rPr>
          <w:rFonts w:cs="Times New Roman"/>
        </w:rPr>
        <w:t xml:space="preserve">seven </w:t>
      </w:r>
      <w:r>
        <w:rPr>
          <w:rFonts w:cs="Times New Roman"/>
        </w:rPr>
        <w:t>recommendations made here with hospitals and nursing homes in the state of Maryland.</w:t>
      </w:r>
      <w:r w:rsidR="00A3541B">
        <w:rPr>
          <w:rFonts w:cs="Times New Roman"/>
        </w:rPr>
        <w:t xml:space="preserve"> </w:t>
      </w:r>
      <w:r w:rsidR="001578D3">
        <w:rPr>
          <w:rFonts w:cs="Times New Roman"/>
        </w:rPr>
        <w:t xml:space="preserve">Adoption of these best practices would help direct and improve person-centered care, </w:t>
      </w:r>
      <w:r w:rsidR="00153AF9">
        <w:rPr>
          <w:rFonts w:cs="Times New Roman"/>
        </w:rPr>
        <w:t>enhance</w:t>
      </w:r>
      <w:r w:rsidR="001578D3">
        <w:rPr>
          <w:rFonts w:cs="Times New Roman"/>
        </w:rPr>
        <w:t xml:space="preserve"> family caregiver education, and lead to more effective discharges.</w:t>
      </w:r>
    </w:p>
    <w:p w14:paraId="7C6B08E0" w14:textId="77777777" w:rsidR="005C59F7" w:rsidRDefault="005C59F7" w:rsidP="00DC1F4C">
      <w:pPr>
        <w:spacing w:line="480" w:lineRule="auto"/>
        <w:jc w:val="center"/>
        <w:outlineLvl w:val="0"/>
        <w:rPr>
          <w:rFonts w:cs="Times New Roman"/>
        </w:rPr>
      </w:pPr>
    </w:p>
    <w:p w14:paraId="588D312B" w14:textId="77777777" w:rsidR="00E618A6" w:rsidRDefault="00E618A6" w:rsidP="00DC1F4C">
      <w:pPr>
        <w:spacing w:line="480" w:lineRule="auto"/>
        <w:jc w:val="center"/>
        <w:outlineLvl w:val="0"/>
        <w:rPr>
          <w:rFonts w:cs="Times New Roman"/>
        </w:rPr>
      </w:pPr>
    </w:p>
    <w:p w14:paraId="3BA41AA2" w14:textId="77777777" w:rsidR="00E618A6" w:rsidRDefault="00E618A6" w:rsidP="00DC1F4C">
      <w:pPr>
        <w:spacing w:line="480" w:lineRule="auto"/>
        <w:jc w:val="center"/>
        <w:outlineLvl w:val="0"/>
        <w:rPr>
          <w:rFonts w:cs="Times New Roman"/>
        </w:rPr>
      </w:pPr>
    </w:p>
    <w:p w14:paraId="219E94CA" w14:textId="77777777" w:rsidR="00E618A6" w:rsidRDefault="00E618A6" w:rsidP="00DC1F4C">
      <w:pPr>
        <w:spacing w:line="480" w:lineRule="auto"/>
        <w:jc w:val="center"/>
        <w:outlineLvl w:val="0"/>
        <w:rPr>
          <w:rFonts w:cs="Times New Roman"/>
        </w:rPr>
      </w:pPr>
    </w:p>
    <w:p w14:paraId="36D22838" w14:textId="77777777" w:rsidR="00797021" w:rsidRDefault="00797021" w:rsidP="00DF53AE">
      <w:pPr>
        <w:spacing w:line="480" w:lineRule="auto"/>
        <w:outlineLvl w:val="0"/>
        <w:rPr>
          <w:rFonts w:cs="Times New Roman"/>
        </w:rPr>
      </w:pPr>
    </w:p>
    <w:p w14:paraId="711D5DBD" w14:textId="77777777" w:rsidR="00D91449" w:rsidRPr="00DC1F4C" w:rsidRDefault="00D91449" w:rsidP="00DC1F4C">
      <w:pPr>
        <w:spacing w:line="480" w:lineRule="auto"/>
        <w:jc w:val="center"/>
        <w:outlineLvl w:val="0"/>
        <w:rPr>
          <w:rFonts w:cs="Times New Roman"/>
        </w:rPr>
      </w:pPr>
      <w:r w:rsidRPr="00DC1F4C">
        <w:rPr>
          <w:rFonts w:cs="Times New Roman"/>
        </w:rPr>
        <w:lastRenderedPageBreak/>
        <w:t>References</w:t>
      </w:r>
    </w:p>
    <w:p w14:paraId="61AEF7AC" w14:textId="1820393B" w:rsidR="005D793E" w:rsidRPr="000E7469" w:rsidRDefault="00446129" w:rsidP="000E7469">
      <w:pPr>
        <w:spacing w:line="480" w:lineRule="auto"/>
        <w:rPr>
          <w:rFonts w:cs="Times New Roman"/>
          <w:u w:val="single"/>
        </w:rPr>
      </w:pPr>
      <w:proofErr w:type="gramStart"/>
      <w:r w:rsidRPr="000E7469">
        <w:rPr>
          <w:rFonts w:cs="Times New Roman"/>
          <w:vertAlign w:val="superscript"/>
        </w:rPr>
        <w:t xml:space="preserve">1 </w:t>
      </w:r>
      <w:proofErr w:type="spellStart"/>
      <w:r w:rsidRPr="000E7469">
        <w:rPr>
          <w:rFonts w:cs="Times New Roman"/>
        </w:rPr>
        <w:t>Kansagera</w:t>
      </w:r>
      <w:proofErr w:type="spellEnd"/>
      <w:r w:rsidRPr="000E7469">
        <w:rPr>
          <w:rFonts w:cs="Times New Roman"/>
        </w:rPr>
        <w:t>, D., En</w:t>
      </w:r>
      <w:r w:rsidR="00001122" w:rsidRPr="000E7469">
        <w:rPr>
          <w:rFonts w:cs="Times New Roman"/>
        </w:rPr>
        <w:t xml:space="preserve">glander, H., </w:t>
      </w:r>
      <w:proofErr w:type="spellStart"/>
      <w:r w:rsidR="00001122" w:rsidRPr="000E7469">
        <w:rPr>
          <w:rFonts w:cs="Times New Roman"/>
        </w:rPr>
        <w:t>Salanitro</w:t>
      </w:r>
      <w:proofErr w:type="spellEnd"/>
      <w:r w:rsidR="00001122" w:rsidRPr="000E7469">
        <w:rPr>
          <w:rFonts w:cs="Times New Roman"/>
        </w:rPr>
        <w:t xml:space="preserve">, A., </w:t>
      </w:r>
      <w:proofErr w:type="spellStart"/>
      <w:r w:rsidR="00001122" w:rsidRPr="000E7469">
        <w:rPr>
          <w:rFonts w:cs="Times New Roman"/>
        </w:rPr>
        <w:t>Kagen</w:t>
      </w:r>
      <w:proofErr w:type="spellEnd"/>
      <w:r w:rsidR="00001122" w:rsidRPr="000E7469">
        <w:rPr>
          <w:rFonts w:cs="Times New Roman"/>
        </w:rPr>
        <w:t xml:space="preserve">, D., Theobald, C., Freeman, M., &amp; </w:t>
      </w:r>
      <w:proofErr w:type="spellStart"/>
      <w:r w:rsidR="00001122" w:rsidRPr="000E7469">
        <w:rPr>
          <w:rFonts w:cs="Times New Roman"/>
        </w:rPr>
        <w:t>Kripalani</w:t>
      </w:r>
      <w:proofErr w:type="spellEnd"/>
      <w:r w:rsidR="00001122" w:rsidRPr="000E7469">
        <w:rPr>
          <w:rFonts w:cs="Times New Roman"/>
        </w:rPr>
        <w:t>, S.</w:t>
      </w:r>
      <w:r w:rsidRPr="000E7469">
        <w:rPr>
          <w:rFonts w:cs="Times New Roman"/>
        </w:rPr>
        <w:t xml:space="preserve"> (2011).</w:t>
      </w:r>
      <w:proofErr w:type="gramEnd"/>
      <w:r w:rsidRPr="000E7469">
        <w:rPr>
          <w:rFonts w:cs="Times New Roman"/>
        </w:rPr>
        <w:t xml:space="preserve"> Risk prediction models for hospital readmission: a systematic review. </w:t>
      </w:r>
      <w:proofErr w:type="gramStart"/>
      <w:r w:rsidR="00001122" w:rsidRPr="000E7469">
        <w:rPr>
          <w:rFonts w:cs="Times New Roman"/>
          <w:i/>
        </w:rPr>
        <w:t xml:space="preserve">JAMA, </w:t>
      </w:r>
      <w:r w:rsidRPr="000E7469">
        <w:rPr>
          <w:rFonts w:cs="Times New Roman"/>
          <w:i/>
        </w:rPr>
        <w:t>306</w:t>
      </w:r>
      <w:r w:rsidR="00001122" w:rsidRPr="000E7469">
        <w:rPr>
          <w:rFonts w:cs="Times New Roman"/>
        </w:rPr>
        <w:t xml:space="preserve">(15), </w:t>
      </w:r>
      <w:r w:rsidRPr="000E7469">
        <w:rPr>
          <w:rFonts w:cs="Times New Roman"/>
        </w:rPr>
        <w:t>1688-1698.</w:t>
      </w:r>
      <w:proofErr w:type="gramEnd"/>
    </w:p>
    <w:p w14:paraId="422C7350" w14:textId="77777777" w:rsidR="00B27738" w:rsidRPr="000E7469" w:rsidRDefault="00446129" w:rsidP="000E7469">
      <w:pPr>
        <w:spacing w:line="480" w:lineRule="auto"/>
        <w:rPr>
          <w:rFonts w:cs="Times New Roman"/>
        </w:rPr>
      </w:pPr>
      <w:r w:rsidRPr="000E7469">
        <w:rPr>
          <w:rFonts w:cs="Times New Roman"/>
          <w:vertAlign w:val="superscript"/>
        </w:rPr>
        <w:t xml:space="preserve">2 </w:t>
      </w:r>
      <w:r w:rsidR="005854DB" w:rsidRPr="000E7469">
        <w:rPr>
          <w:rFonts w:cs="Times New Roman"/>
        </w:rPr>
        <w:t>Jencks, S</w:t>
      </w:r>
      <w:r w:rsidR="00B27738" w:rsidRPr="000E7469">
        <w:rPr>
          <w:rFonts w:cs="Times New Roman"/>
        </w:rPr>
        <w:t xml:space="preserve">., </w:t>
      </w:r>
      <w:r w:rsidR="005854DB" w:rsidRPr="000E7469">
        <w:rPr>
          <w:rFonts w:cs="Times New Roman"/>
        </w:rPr>
        <w:t>F</w:t>
      </w:r>
      <w:r w:rsidR="00B27738" w:rsidRPr="000E7469">
        <w:rPr>
          <w:rFonts w:cs="Times New Roman"/>
        </w:rPr>
        <w:t>.</w:t>
      </w:r>
      <w:r w:rsidR="005854DB" w:rsidRPr="000E7469">
        <w:rPr>
          <w:rFonts w:cs="Times New Roman"/>
        </w:rPr>
        <w:t>, William, M</w:t>
      </w:r>
      <w:r w:rsidR="00B27738" w:rsidRPr="000E7469">
        <w:rPr>
          <w:rFonts w:cs="Times New Roman"/>
        </w:rPr>
        <w:t xml:space="preserve">. </w:t>
      </w:r>
      <w:r w:rsidR="005854DB" w:rsidRPr="000E7469">
        <w:rPr>
          <w:rFonts w:cs="Times New Roman"/>
        </w:rPr>
        <w:t>V</w:t>
      </w:r>
      <w:r w:rsidR="00B27738" w:rsidRPr="000E7469">
        <w:rPr>
          <w:rFonts w:cs="Times New Roman"/>
        </w:rPr>
        <w:t>.</w:t>
      </w:r>
      <w:r w:rsidR="005854DB" w:rsidRPr="000E7469">
        <w:rPr>
          <w:rFonts w:cs="Times New Roman"/>
        </w:rPr>
        <w:t>, &amp; Coleman, E</w:t>
      </w:r>
      <w:r w:rsidR="00B27738" w:rsidRPr="000E7469">
        <w:rPr>
          <w:rFonts w:cs="Times New Roman"/>
        </w:rPr>
        <w:t xml:space="preserve">. </w:t>
      </w:r>
      <w:r w:rsidR="005854DB" w:rsidRPr="000E7469">
        <w:rPr>
          <w:rFonts w:cs="Times New Roman"/>
        </w:rPr>
        <w:t xml:space="preserve">A. (2009). </w:t>
      </w:r>
      <w:proofErr w:type="spellStart"/>
      <w:proofErr w:type="gramStart"/>
      <w:r w:rsidR="005854DB" w:rsidRPr="000E7469">
        <w:rPr>
          <w:rFonts w:cs="Times New Roman"/>
        </w:rPr>
        <w:t>Rehospitalizations</w:t>
      </w:r>
      <w:proofErr w:type="spellEnd"/>
      <w:r w:rsidR="005854DB" w:rsidRPr="000E7469">
        <w:rPr>
          <w:rFonts w:cs="Times New Roman"/>
        </w:rPr>
        <w:t xml:space="preserve"> among patients in the Medicare fee-for-service program.</w:t>
      </w:r>
      <w:proofErr w:type="gramEnd"/>
      <w:r w:rsidR="005854DB" w:rsidRPr="000E7469">
        <w:rPr>
          <w:rFonts w:cs="Times New Roman"/>
        </w:rPr>
        <w:t xml:space="preserve"> </w:t>
      </w:r>
      <w:proofErr w:type="gramStart"/>
      <w:r w:rsidR="00B27738" w:rsidRPr="000E7469">
        <w:rPr>
          <w:rFonts w:cs="Times New Roman"/>
          <w:i/>
        </w:rPr>
        <w:t>New England Journal of Medicine,</w:t>
      </w:r>
      <w:r w:rsidR="005854DB" w:rsidRPr="000E7469">
        <w:rPr>
          <w:rFonts w:cs="Times New Roman"/>
          <w:i/>
        </w:rPr>
        <w:t xml:space="preserve"> 360</w:t>
      </w:r>
      <w:r w:rsidR="00B27738" w:rsidRPr="000E7469">
        <w:rPr>
          <w:rFonts w:cs="Times New Roman"/>
        </w:rPr>
        <w:t xml:space="preserve">(14), </w:t>
      </w:r>
      <w:r w:rsidR="005854DB" w:rsidRPr="000E7469">
        <w:rPr>
          <w:rFonts w:cs="Times New Roman"/>
        </w:rPr>
        <w:t>1418-1428</w:t>
      </w:r>
      <w:r w:rsidR="00B27738" w:rsidRPr="000E7469">
        <w:rPr>
          <w:rFonts w:cs="Times New Roman"/>
        </w:rPr>
        <w:t>.</w:t>
      </w:r>
      <w:proofErr w:type="gramEnd"/>
    </w:p>
    <w:p w14:paraId="6E0DC885" w14:textId="025F9FCC" w:rsidR="002F4E05" w:rsidRPr="000E7469" w:rsidRDefault="005854DB" w:rsidP="000E7469">
      <w:pPr>
        <w:spacing w:line="480" w:lineRule="auto"/>
        <w:rPr>
          <w:rFonts w:cs="Times New Roman"/>
          <w:vertAlign w:val="superscript"/>
        </w:rPr>
      </w:pPr>
      <w:r w:rsidRPr="000E7469">
        <w:rPr>
          <w:rFonts w:cs="Times New Roman"/>
          <w:vertAlign w:val="superscript"/>
        </w:rPr>
        <w:t>3</w:t>
      </w:r>
      <w:r w:rsidR="00B27738" w:rsidRPr="000E7469">
        <w:rPr>
          <w:rFonts w:cs="Times New Roman"/>
          <w:vertAlign w:val="superscript"/>
        </w:rPr>
        <w:t xml:space="preserve"> </w:t>
      </w:r>
      <w:r w:rsidR="002F4E05" w:rsidRPr="000E7469">
        <w:rPr>
          <w:rFonts w:cs="Times New Roman"/>
        </w:rPr>
        <w:t xml:space="preserve">Burke, R., Levy, C., Davidson, H. E., </w:t>
      </w:r>
      <w:proofErr w:type="spellStart"/>
      <w:r w:rsidR="002F4E05" w:rsidRPr="000E7469">
        <w:rPr>
          <w:rFonts w:cs="Times New Roman"/>
        </w:rPr>
        <w:t>Boockvar</w:t>
      </w:r>
      <w:proofErr w:type="spellEnd"/>
      <w:r w:rsidR="002F4E05" w:rsidRPr="000E7469">
        <w:rPr>
          <w:rFonts w:cs="Times New Roman"/>
        </w:rPr>
        <w:t xml:space="preserve">, K., </w:t>
      </w:r>
      <w:proofErr w:type="spellStart"/>
      <w:r w:rsidR="002F4E05" w:rsidRPr="000E7469">
        <w:rPr>
          <w:rFonts w:cs="Times New Roman"/>
        </w:rPr>
        <w:t>Saltsman</w:t>
      </w:r>
      <w:proofErr w:type="spellEnd"/>
      <w:r w:rsidR="002F4E05" w:rsidRPr="000E7469">
        <w:rPr>
          <w:rFonts w:cs="Times New Roman"/>
        </w:rPr>
        <w:t xml:space="preserve">, W., Levy, S. M., … </w:t>
      </w:r>
      <w:proofErr w:type="spellStart"/>
      <w:r w:rsidR="002F4E05" w:rsidRPr="000E7469">
        <w:rPr>
          <w:rFonts w:cs="Times New Roman"/>
        </w:rPr>
        <w:t>Lett</w:t>
      </w:r>
      <w:proofErr w:type="spellEnd"/>
      <w:r w:rsidR="002F4E05" w:rsidRPr="000E7469">
        <w:rPr>
          <w:rFonts w:cs="Times New Roman"/>
        </w:rPr>
        <w:t xml:space="preserve">, J. E. (2016). </w:t>
      </w:r>
      <w:proofErr w:type="gramStart"/>
      <w:r w:rsidR="002F4E05" w:rsidRPr="000E7469">
        <w:rPr>
          <w:rFonts w:cs="Times New Roman"/>
        </w:rPr>
        <w:t>Dementia in Care Transitions.</w:t>
      </w:r>
      <w:proofErr w:type="gramEnd"/>
      <w:r w:rsidR="002F4E05" w:rsidRPr="000E7469">
        <w:rPr>
          <w:rFonts w:cs="Times New Roman"/>
        </w:rPr>
        <w:t xml:space="preserve"> Retrieved from, http://www.paltc.org/sites/default/files/M16-%20TOC%20Dementia%20White%20Paper.pdf</w:t>
      </w:r>
    </w:p>
    <w:p w14:paraId="6E2D80C6" w14:textId="49360154" w:rsidR="002F4E05" w:rsidRPr="000E7469" w:rsidRDefault="002F4E05" w:rsidP="000E7469">
      <w:pPr>
        <w:spacing w:line="480" w:lineRule="auto"/>
        <w:rPr>
          <w:rFonts w:cs="Times New Roman"/>
        </w:rPr>
      </w:pPr>
      <w:r w:rsidRPr="000E7469">
        <w:rPr>
          <w:rFonts w:cs="Times New Roman"/>
          <w:vertAlign w:val="superscript"/>
        </w:rPr>
        <w:t>4</w:t>
      </w:r>
      <w:r w:rsidRPr="000E7469">
        <w:rPr>
          <w:rFonts w:cs="Times New Roman"/>
        </w:rPr>
        <w:t xml:space="preserve"> Timmons, S., </w:t>
      </w:r>
      <w:proofErr w:type="spellStart"/>
      <w:r w:rsidRPr="000E7469">
        <w:rPr>
          <w:rFonts w:cs="Times New Roman"/>
        </w:rPr>
        <w:t>O’Shae</w:t>
      </w:r>
      <w:proofErr w:type="spellEnd"/>
      <w:r w:rsidRPr="000E7469">
        <w:rPr>
          <w:rFonts w:cs="Times New Roman"/>
        </w:rPr>
        <w:t xml:space="preserve">, E., O’Neill, D., Gallagher, P., de </w:t>
      </w:r>
      <w:proofErr w:type="spellStart"/>
      <w:r w:rsidRPr="000E7469">
        <w:rPr>
          <w:rFonts w:cs="Times New Roman"/>
        </w:rPr>
        <w:t>Siún</w:t>
      </w:r>
      <w:proofErr w:type="spellEnd"/>
      <w:r w:rsidRPr="000E7469">
        <w:rPr>
          <w:rFonts w:cs="Times New Roman"/>
        </w:rPr>
        <w:t xml:space="preserve">, A., </w:t>
      </w:r>
      <w:proofErr w:type="spellStart"/>
      <w:r w:rsidRPr="000E7469">
        <w:rPr>
          <w:rFonts w:cs="Times New Roman"/>
        </w:rPr>
        <w:t>McArdle</w:t>
      </w:r>
      <w:proofErr w:type="spellEnd"/>
      <w:r w:rsidRPr="000E7469">
        <w:rPr>
          <w:rFonts w:cs="Times New Roman"/>
        </w:rPr>
        <w:t xml:space="preserve">, D., … Kennelly, S., (2013). Acute hospital dementia care: results from a national audit. </w:t>
      </w:r>
      <w:r w:rsidRPr="000E7469">
        <w:rPr>
          <w:rFonts w:cs="Times New Roman"/>
          <w:i/>
        </w:rPr>
        <w:t>BMC Geriatrics</w:t>
      </w:r>
      <w:r w:rsidRPr="000E7469">
        <w:rPr>
          <w:rFonts w:cs="Times New Roman"/>
        </w:rPr>
        <w:t xml:space="preserve">, </w:t>
      </w:r>
      <w:r w:rsidRPr="000E7469">
        <w:rPr>
          <w:rFonts w:cs="Times New Roman"/>
          <w:i/>
        </w:rPr>
        <w:t>16</w:t>
      </w:r>
      <w:r w:rsidRPr="000E7469">
        <w:rPr>
          <w:rFonts w:cs="Times New Roman"/>
        </w:rPr>
        <w:t>(113), 1-10.</w:t>
      </w:r>
    </w:p>
    <w:p w14:paraId="3CC99493" w14:textId="77777777" w:rsidR="0022515D" w:rsidRPr="000E7469" w:rsidRDefault="002F4E05" w:rsidP="000E7469">
      <w:pPr>
        <w:spacing w:line="480" w:lineRule="auto"/>
        <w:rPr>
          <w:rFonts w:cs="Times New Roman"/>
          <w:vertAlign w:val="superscript"/>
        </w:rPr>
      </w:pPr>
      <w:proofErr w:type="gramStart"/>
      <w:r w:rsidRPr="000E7469">
        <w:rPr>
          <w:rFonts w:cs="Times New Roman"/>
          <w:vertAlign w:val="superscript"/>
        </w:rPr>
        <w:t>5</w:t>
      </w:r>
      <w:r w:rsidR="00F14D26" w:rsidRPr="000E7469">
        <w:rPr>
          <w:rFonts w:cs="Times New Roman"/>
        </w:rPr>
        <w:t xml:space="preserve"> </w:t>
      </w:r>
      <w:proofErr w:type="spellStart"/>
      <w:r w:rsidR="00F14D26" w:rsidRPr="000E7469">
        <w:rPr>
          <w:rFonts w:cs="Times New Roman"/>
        </w:rPr>
        <w:t>Borbasi</w:t>
      </w:r>
      <w:proofErr w:type="spellEnd"/>
      <w:r w:rsidRPr="000E7469">
        <w:rPr>
          <w:rFonts w:cs="Times New Roman"/>
        </w:rPr>
        <w:t>,</w:t>
      </w:r>
      <w:r w:rsidR="00F14D26" w:rsidRPr="000E7469">
        <w:rPr>
          <w:rFonts w:cs="Times New Roman"/>
        </w:rPr>
        <w:t xml:space="preserve"> S</w:t>
      </w:r>
      <w:r w:rsidRPr="000E7469">
        <w:rPr>
          <w:rFonts w:cs="Times New Roman"/>
        </w:rPr>
        <w:t>.</w:t>
      </w:r>
      <w:r w:rsidR="00F14D26" w:rsidRPr="000E7469">
        <w:rPr>
          <w:rFonts w:cs="Times New Roman"/>
        </w:rPr>
        <w:t>, Jones</w:t>
      </w:r>
      <w:r w:rsidRPr="000E7469">
        <w:rPr>
          <w:rFonts w:cs="Times New Roman"/>
        </w:rPr>
        <w:t>,</w:t>
      </w:r>
      <w:r w:rsidR="00F14D26" w:rsidRPr="000E7469">
        <w:rPr>
          <w:rFonts w:cs="Times New Roman"/>
        </w:rPr>
        <w:t xml:space="preserve"> J</w:t>
      </w:r>
      <w:r w:rsidRPr="000E7469">
        <w:rPr>
          <w:rFonts w:cs="Times New Roman"/>
        </w:rPr>
        <w:t>.</w:t>
      </w:r>
      <w:r w:rsidR="00F14D26" w:rsidRPr="000E7469">
        <w:rPr>
          <w:rFonts w:cs="Times New Roman"/>
        </w:rPr>
        <w:t>, Lockwood</w:t>
      </w:r>
      <w:r w:rsidRPr="000E7469">
        <w:rPr>
          <w:rFonts w:cs="Times New Roman"/>
        </w:rPr>
        <w:t>,</w:t>
      </w:r>
      <w:r w:rsidR="00F14D26" w:rsidRPr="000E7469">
        <w:rPr>
          <w:rFonts w:cs="Times New Roman"/>
        </w:rPr>
        <w:t xml:space="preserve"> C</w:t>
      </w:r>
      <w:r w:rsidRPr="000E7469">
        <w:rPr>
          <w:rFonts w:cs="Times New Roman"/>
        </w:rPr>
        <w:t>.</w:t>
      </w:r>
      <w:r w:rsidR="00F14D26" w:rsidRPr="000E7469">
        <w:rPr>
          <w:rFonts w:cs="Times New Roman"/>
        </w:rPr>
        <w:t>,</w:t>
      </w:r>
      <w:r w:rsidRPr="000E7469">
        <w:rPr>
          <w:rFonts w:cs="Times New Roman"/>
        </w:rPr>
        <w:t xml:space="preserve"> &amp;</w:t>
      </w:r>
      <w:r w:rsidR="00F14D26" w:rsidRPr="000E7469">
        <w:rPr>
          <w:rFonts w:cs="Times New Roman"/>
        </w:rPr>
        <w:t xml:space="preserve"> Emden</w:t>
      </w:r>
      <w:r w:rsidRPr="000E7469">
        <w:rPr>
          <w:rFonts w:cs="Times New Roman"/>
        </w:rPr>
        <w:t>,</w:t>
      </w:r>
      <w:r w:rsidR="00F14D26" w:rsidRPr="000E7469">
        <w:rPr>
          <w:rFonts w:cs="Times New Roman"/>
        </w:rPr>
        <w:t xml:space="preserve"> C.</w:t>
      </w:r>
      <w:r w:rsidRPr="000E7469">
        <w:rPr>
          <w:rFonts w:cs="Times New Roman"/>
        </w:rPr>
        <w:t xml:space="preserve"> (2006).</w:t>
      </w:r>
      <w:proofErr w:type="gramEnd"/>
      <w:r w:rsidR="00F14D26" w:rsidRPr="000E7469">
        <w:rPr>
          <w:rFonts w:cs="Times New Roman"/>
        </w:rPr>
        <w:t xml:space="preserve"> Health professionals’ perspectives of providing care to people with dementia in the acute setting: Toward better practice. </w:t>
      </w:r>
      <w:proofErr w:type="gramStart"/>
      <w:r w:rsidR="00F14D26" w:rsidRPr="000E7469">
        <w:rPr>
          <w:rFonts w:cs="Times New Roman"/>
          <w:i/>
        </w:rPr>
        <w:t>Geriatr</w:t>
      </w:r>
      <w:r w:rsidRPr="000E7469">
        <w:rPr>
          <w:rFonts w:cs="Times New Roman"/>
          <w:i/>
        </w:rPr>
        <w:t>ic</w:t>
      </w:r>
      <w:r w:rsidR="00F14D26" w:rsidRPr="000E7469">
        <w:rPr>
          <w:rFonts w:cs="Times New Roman"/>
          <w:i/>
        </w:rPr>
        <w:t xml:space="preserve"> Nurs</w:t>
      </w:r>
      <w:r w:rsidRPr="000E7469">
        <w:rPr>
          <w:rFonts w:cs="Times New Roman"/>
          <w:i/>
        </w:rPr>
        <w:t>ing</w:t>
      </w:r>
      <w:r w:rsidRPr="000E7469">
        <w:rPr>
          <w:rFonts w:cs="Times New Roman"/>
        </w:rPr>
        <w:t xml:space="preserve">, </w:t>
      </w:r>
      <w:r w:rsidR="00F14D26" w:rsidRPr="000E7469">
        <w:rPr>
          <w:rFonts w:cs="Times New Roman"/>
          <w:i/>
        </w:rPr>
        <w:t>27</w:t>
      </w:r>
      <w:r w:rsidRPr="000E7469">
        <w:rPr>
          <w:rFonts w:cs="Times New Roman"/>
        </w:rPr>
        <w:t>(5), 300-30</w:t>
      </w:r>
      <w:r w:rsidR="00F14D26" w:rsidRPr="000E7469">
        <w:rPr>
          <w:rFonts w:cs="Times New Roman"/>
        </w:rPr>
        <w:t>8.</w:t>
      </w:r>
      <w:proofErr w:type="gramEnd"/>
    </w:p>
    <w:p w14:paraId="24C280BC" w14:textId="77777777" w:rsidR="008570BB" w:rsidRPr="000E7469" w:rsidRDefault="00F14D26" w:rsidP="000E7469">
      <w:pPr>
        <w:spacing w:line="480" w:lineRule="auto"/>
        <w:rPr>
          <w:rFonts w:cs="Times New Roman"/>
          <w:vertAlign w:val="superscript"/>
        </w:rPr>
      </w:pPr>
      <w:proofErr w:type="gramStart"/>
      <w:r w:rsidRPr="000E7469">
        <w:rPr>
          <w:rFonts w:cs="Times New Roman"/>
          <w:vertAlign w:val="superscript"/>
        </w:rPr>
        <w:t>6</w:t>
      </w:r>
      <w:r w:rsidR="0022515D" w:rsidRPr="000E7469">
        <w:rPr>
          <w:rFonts w:cs="Times New Roman"/>
        </w:rPr>
        <w:t xml:space="preserve"> </w:t>
      </w:r>
      <w:r w:rsidRPr="000E7469">
        <w:rPr>
          <w:rFonts w:cs="Times New Roman"/>
        </w:rPr>
        <w:t>Manning</w:t>
      </w:r>
      <w:r w:rsidR="0022515D" w:rsidRPr="000E7469">
        <w:rPr>
          <w:rFonts w:cs="Times New Roman"/>
        </w:rPr>
        <w:t>,</w:t>
      </w:r>
      <w:r w:rsidRPr="000E7469">
        <w:rPr>
          <w:rFonts w:cs="Times New Roman"/>
        </w:rPr>
        <w:t xml:space="preserve"> E</w:t>
      </w:r>
      <w:r w:rsidR="0022515D" w:rsidRPr="000E7469">
        <w:rPr>
          <w:rFonts w:cs="Times New Roman"/>
        </w:rPr>
        <w:t>.</w:t>
      </w:r>
      <w:r w:rsidRPr="000E7469">
        <w:rPr>
          <w:rFonts w:cs="Times New Roman"/>
        </w:rPr>
        <w:t>, Timmons</w:t>
      </w:r>
      <w:r w:rsidR="0022515D" w:rsidRPr="000E7469">
        <w:rPr>
          <w:rFonts w:cs="Times New Roman"/>
        </w:rPr>
        <w:t>,</w:t>
      </w:r>
      <w:r w:rsidRPr="000E7469">
        <w:rPr>
          <w:rFonts w:cs="Times New Roman"/>
        </w:rPr>
        <w:t xml:space="preserve"> S</w:t>
      </w:r>
      <w:r w:rsidR="0022515D" w:rsidRPr="000E7469">
        <w:rPr>
          <w:rFonts w:cs="Times New Roman"/>
        </w:rPr>
        <w:t>.</w:t>
      </w:r>
      <w:r w:rsidRPr="000E7469">
        <w:rPr>
          <w:rFonts w:cs="Times New Roman"/>
        </w:rPr>
        <w:t>, Barrett</w:t>
      </w:r>
      <w:r w:rsidR="0022515D" w:rsidRPr="000E7469">
        <w:rPr>
          <w:rFonts w:cs="Times New Roman"/>
        </w:rPr>
        <w:t>,</w:t>
      </w:r>
      <w:r w:rsidRPr="000E7469">
        <w:rPr>
          <w:rFonts w:cs="Times New Roman"/>
        </w:rPr>
        <w:t xml:space="preserve"> A</w:t>
      </w:r>
      <w:r w:rsidR="0022515D" w:rsidRPr="000E7469">
        <w:rPr>
          <w:rFonts w:cs="Times New Roman"/>
        </w:rPr>
        <w:t>.</w:t>
      </w:r>
      <w:r w:rsidRPr="000E7469">
        <w:rPr>
          <w:rFonts w:cs="Times New Roman"/>
        </w:rPr>
        <w:t>, Browne</w:t>
      </w:r>
      <w:r w:rsidR="0022515D" w:rsidRPr="000E7469">
        <w:rPr>
          <w:rFonts w:cs="Times New Roman"/>
        </w:rPr>
        <w:t>,</w:t>
      </w:r>
      <w:r w:rsidRPr="000E7469">
        <w:rPr>
          <w:rFonts w:cs="Times New Roman"/>
        </w:rPr>
        <w:t xml:space="preserve"> V</w:t>
      </w:r>
      <w:r w:rsidR="0022515D" w:rsidRPr="000E7469">
        <w:rPr>
          <w:rFonts w:cs="Times New Roman"/>
        </w:rPr>
        <w:t>.</w:t>
      </w:r>
      <w:r w:rsidRPr="000E7469">
        <w:rPr>
          <w:rFonts w:cs="Times New Roman"/>
        </w:rPr>
        <w:t>, Molloy</w:t>
      </w:r>
      <w:r w:rsidR="0022515D" w:rsidRPr="000E7469">
        <w:rPr>
          <w:rFonts w:cs="Times New Roman"/>
        </w:rPr>
        <w:t>,</w:t>
      </w:r>
      <w:r w:rsidRPr="000E7469">
        <w:rPr>
          <w:rFonts w:cs="Times New Roman"/>
        </w:rPr>
        <w:t xml:space="preserve"> D</w:t>
      </w:r>
      <w:r w:rsidR="0022515D" w:rsidRPr="000E7469">
        <w:rPr>
          <w:rFonts w:cs="Times New Roman"/>
        </w:rPr>
        <w:t xml:space="preserve">. </w:t>
      </w:r>
      <w:r w:rsidRPr="000E7469">
        <w:rPr>
          <w:rFonts w:cs="Times New Roman"/>
        </w:rPr>
        <w:t>W</w:t>
      </w:r>
      <w:r w:rsidR="0022515D" w:rsidRPr="000E7469">
        <w:rPr>
          <w:rFonts w:cs="Times New Roman"/>
        </w:rPr>
        <w:t xml:space="preserve">., </w:t>
      </w:r>
      <w:proofErr w:type="spellStart"/>
      <w:r w:rsidR="0022515D" w:rsidRPr="000E7469">
        <w:rPr>
          <w:rFonts w:cs="Times New Roman"/>
        </w:rPr>
        <w:t>O’</w:t>
      </w:r>
      <w:r w:rsidRPr="000E7469">
        <w:rPr>
          <w:rFonts w:cs="Times New Roman"/>
        </w:rPr>
        <w:t>Regan</w:t>
      </w:r>
      <w:proofErr w:type="spellEnd"/>
      <w:r w:rsidR="0022515D" w:rsidRPr="000E7469">
        <w:rPr>
          <w:rFonts w:cs="Times New Roman"/>
        </w:rPr>
        <w:t>,</w:t>
      </w:r>
      <w:r w:rsidRPr="000E7469">
        <w:rPr>
          <w:rFonts w:cs="Times New Roman"/>
        </w:rPr>
        <w:t xml:space="preserve"> N</w:t>
      </w:r>
      <w:r w:rsidR="0022515D" w:rsidRPr="000E7469">
        <w:rPr>
          <w:rFonts w:cs="Times New Roman"/>
        </w:rPr>
        <w:t>.</w:t>
      </w:r>
      <w:r w:rsidRPr="000E7469">
        <w:rPr>
          <w:rFonts w:cs="Times New Roman"/>
        </w:rPr>
        <w:t>,</w:t>
      </w:r>
      <w:r w:rsidR="0022515D" w:rsidRPr="000E7469">
        <w:rPr>
          <w:rFonts w:cs="Times New Roman"/>
        </w:rPr>
        <w:t xml:space="preserve"> …</w:t>
      </w:r>
      <w:r w:rsidRPr="000E7469">
        <w:rPr>
          <w:rFonts w:cs="Times New Roman"/>
        </w:rPr>
        <w:t xml:space="preserve"> Ni </w:t>
      </w:r>
      <w:proofErr w:type="spellStart"/>
      <w:r w:rsidRPr="000E7469">
        <w:rPr>
          <w:rFonts w:cs="Times New Roman"/>
        </w:rPr>
        <w:t>Chorcorain</w:t>
      </w:r>
      <w:proofErr w:type="spellEnd"/>
      <w:r w:rsidR="0022515D" w:rsidRPr="000E7469">
        <w:rPr>
          <w:rFonts w:cs="Times New Roman"/>
        </w:rPr>
        <w:t>,</w:t>
      </w:r>
      <w:r w:rsidRPr="000E7469">
        <w:rPr>
          <w:rFonts w:cs="Times New Roman"/>
        </w:rPr>
        <w:t xml:space="preserve"> A.</w:t>
      </w:r>
      <w:r w:rsidR="0022515D" w:rsidRPr="000E7469">
        <w:rPr>
          <w:rFonts w:cs="Times New Roman"/>
        </w:rPr>
        <w:t xml:space="preserve"> (2014).</w:t>
      </w:r>
      <w:proofErr w:type="gramEnd"/>
      <w:r w:rsidRPr="000E7469">
        <w:rPr>
          <w:rFonts w:cs="Times New Roman"/>
        </w:rPr>
        <w:t xml:space="preserve"> </w:t>
      </w:r>
      <w:proofErr w:type="gramStart"/>
      <w:r w:rsidRPr="000E7469">
        <w:rPr>
          <w:rFonts w:cs="Times New Roman"/>
        </w:rPr>
        <w:t>The Influence of Dementia on One-Year Mortality Following Hospital Admission, and Place and Cause of Death.</w:t>
      </w:r>
      <w:proofErr w:type="gramEnd"/>
      <w:r w:rsidRPr="000E7469">
        <w:rPr>
          <w:rFonts w:cs="Times New Roman"/>
        </w:rPr>
        <w:t xml:space="preserve"> </w:t>
      </w:r>
      <w:proofErr w:type="gramStart"/>
      <w:r w:rsidRPr="000E7469">
        <w:rPr>
          <w:rFonts w:cs="Times New Roman"/>
          <w:i/>
        </w:rPr>
        <w:t>Irish J</w:t>
      </w:r>
      <w:r w:rsidR="0022515D" w:rsidRPr="000E7469">
        <w:rPr>
          <w:rFonts w:cs="Times New Roman"/>
          <w:i/>
        </w:rPr>
        <w:t>ournal of</w:t>
      </w:r>
      <w:r w:rsidRPr="000E7469">
        <w:rPr>
          <w:rFonts w:cs="Times New Roman"/>
          <w:i/>
        </w:rPr>
        <w:t xml:space="preserve"> Med</w:t>
      </w:r>
      <w:r w:rsidR="0022515D" w:rsidRPr="000E7469">
        <w:rPr>
          <w:rFonts w:cs="Times New Roman"/>
          <w:i/>
        </w:rPr>
        <w:t>ical</w:t>
      </w:r>
      <w:r w:rsidRPr="000E7469">
        <w:rPr>
          <w:rFonts w:cs="Times New Roman"/>
          <w:i/>
        </w:rPr>
        <w:t xml:space="preserve"> Sci</w:t>
      </w:r>
      <w:r w:rsidR="0022515D" w:rsidRPr="000E7469">
        <w:rPr>
          <w:rFonts w:cs="Times New Roman"/>
          <w:i/>
        </w:rPr>
        <w:t>ence</w:t>
      </w:r>
      <w:r w:rsidR="0022515D" w:rsidRPr="000E7469">
        <w:rPr>
          <w:rFonts w:cs="Times New Roman"/>
        </w:rPr>
        <w:t xml:space="preserve">, </w:t>
      </w:r>
      <w:r w:rsidRPr="000E7469">
        <w:rPr>
          <w:rFonts w:cs="Times New Roman"/>
          <w:i/>
        </w:rPr>
        <w:t>183</w:t>
      </w:r>
      <w:r w:rsidR="0022515D" w:rsidRPr="000E7469">
        <w:rPr>
          <w:rFonts w:cs="Times New Roman"/>
        </w:rPr>
        <w:t xml:space="preserve">(7), </w:t>
      </w:r>
      <w:r w:rsidRPr="000E7469">
        <w:rPr>
          <w:rFonts w:cs="Times New Roman"/>
        </w:rPr>
        <w:t>319-320.</w:t>
      </w:r>
      <w:proofErr w:type="gramEnd"/>
    </w:p>
    <w:p w14:paraId="6A56ED91" w14:textId="67913040" w:rsidR="00871FAE" w:rsidRPr="000E7469" w:rsidRDefault="004244E8" w:rsidP="000E7469">
      <w:pPr>
        <w:spacing w:line="480" w:lineRule="auto"/>
        <w:rPr>
          <w:rFonts w:cs="Times New Roman"/>
          <w:vertAlign w:val="superscript"/>
        </w:rPr>
      </w:pPr>
      <w:proofErr w:type="gramStart"/>
      <w:r w:rsidRPr="000E7469">
        <w:rPr>
          <w:rFonts w:cs="Times New Roman"/>
          <w:vertAlign w:val="superscript"/>
        </w:rPr>
        <w:t>7</w:t>
      </w:r>
      <w:r w:rsidR="001A0F6B" w:rsidRPr="000E7469">
        <w:rPr>
          <w:rFonts w:cs="Times New Roman"/>
        </w:rPr>
        <w:t xml:space="preserve"> </w:t>
      </w:r>
      <w:r w:rsidRPr="000E7469">
        <w:rPr>
          <w:rFonts w:cs="Times New Roman"/>
        </w:rPr>
        <w:t>CDC, 2012</w:t>
      </w:r>
      <w:r w:rsidR="009C31B5">
        <w:rPr>
          <w:rFonts w:cs="Times New Roman"/>
        </w:rPr>
        <w:t>.</w:t>
      </w:r>
      <w:proofErr w:type="gramEnd"/>
      <w:r w:rsidR="009C31B5">
        <w:rPr>
          <w:rFonts w:cs="Times New Roman"/>
        </w:rPr>
        <w:t xml:space="preserve"> </w:t>
      </w:r>
      <w:r w:rsidR="009C31B5" w:rsidRPr="009C31B5">
        <w:rPr>
          <w:rFonts w:cs="Times New Roman"/>
        </w:rPr>
        <w:t>https://www.cdc.gov/nchs/fastats/nursing-home-care.htm</w:t>
      </w:r>
    </w:p>
    <w:p w14:paraId="129B8914" w14:textId="77777777" w:rsidR="00871FAE" w:rsidRPr="000E7469" w:rsidRDefault="00871FAE" w:rsidP="000E7469">
      <w:pPr>
        <w:spacing w:line="480" w:lineRule="auto"/>
        <w:rPr>
          <w:rFonts w:cs="Times New Roman"/>
          <w:vertAlign w:val="superscript"/>
        </w:rPr>
      </w:pPr>
      <w:r w:rsidRPr="000E7469">
        <w:rPr>
          <w:rFonts w:cs="Times New Roman"/>
          <w:vertAlign w:val="superscript"/>
        </w:rPr>
        <w:t>8</w:t>
      </w:r>
      <w:r w:rsidRPr="000E7469">
        <w:rPr>
          <w:rFonts w:cs="Times New Roman"/>
        </w:rPr>
        <w:t xml:space="preserve"> </w:t>
      </w:r>
      <w:proofErr w:type="spellStart"/>
      <w:r w:rsidRPr="000E7469">
        <w:rPr>
          <w:rFonts w:eastAsia="MS Gothic" w:cs="Times New Roman"/>
          <w:bCs/>
          <w:shd w:val="clear" w:color="auto" w:fill="FFFFFF"/>
        </w:rPr>
        <w:t>Mansbach</w:t>
      </w:r>
      <w:proofErr w:type="spellEnd"/>
      <w:r w:rsidRPr="000E7469">
        <w:rPr>
          <w:rFonts w:eastAsia="MS Gothic" w:cs="Times New Roman"/>
          <w:bCs/>
          <w:shd w:val="clear" w:color="auto" w:fill="FFFFFF"/>
        </w:rPr>
        <w:t xml:space="preserve">, W. E., Mace, R. A., &amp; Clark, K. M. (2015). The Brief Anxiety and Depression Scale (BADS): a new instrument for detecting anxiety and depression in long-term care residents. </w:t>
      </w:r>
      <w:proofErr w:type="gramStart"/>
      <w:r w:rsidRPr="000E7469">
        <w:rPr>
          <w:rFonts w:eastAsia="MS Gothic" w:cs="Times New Roman"/>
          <w:bCs/>
          <w:i/>
          <w:shd w:val="clear" w:color="auto" w:fill="FFFFFF"/>
        </w:rPr>
        <w:t xml:space="preserve">International </w:t>
      </w:r>
      <w:proofErr w:type="spellStart"/>
      <w:r w:rsidRPr="000E7469">
        <w:rPr>
          <w:rFonts w:eastAsia="MS Gothic" w:cs="Times New Roman"/>
          <w:bCs/>
          <w:i/>
          <w:shd w:val="clear" w:color="auto" w:fill="FFFFFF"/>
        </w:rPr>
        <w:t>Psychogeriatrics</w:t>
      </w:r>
      <w:proofErr w:type="spellEnd"/>
      <w:r w:rsidRPr="000E7469">
        <w:rPr>
          <w:rFonts w:eastAsia="MS Gothic" w:cs="Times New Roman"/>
          <w:bCs/>
          <w:shd w:val="clear" w:color="auto" w:fill="FFFFFF"/>
        </w:rPr>
        <w:t xml:space="preserve">, </w:t>
      </w:r>
      <w:r w:rsidRPr="000E7469">
        <w:rPr>
          <w:rFonts w:eastAsia="MS Gothic" w:cs="Times New Roman"/>
          <w:bCs/>
          <w:i/>
          <w:shd w:val="clear" w:color="auto" w:fill="FFFFFF"/>
        </w:rPr>
        <w:t>27</w:t>
      </w:r>
      <w:r w:rsidRPr="000E7469">
        <w:rPr>
          <w:rFonts w:eastAsia="MS Gothic" w:cs="Times New Roman"/>
          <w:bCs/>
          <w:shd w:val="clear" w:color="auto" w:fill="FFFFFF"/>
        </w:rPr>
        <w:t>(4), 673-681.</w:t>
      </w:r>
      <w:proofErr w:type="gramEnd"/>
      <w:r w:rsidRPr="000E7469">
        <w:rPr>
          <w:rFonts w:eastAsia="MS Gothic" w:cs="Times New Roman"/>
          <w:bCs/>
          <w:shd w:val="clear" w:color="auto" w:fill="FFFFFF"/>
        </w:rPr>
        <w:t xml:space="preserve"> </w:t>
      </w:r>
      <w:proofErr w:type="spellStart"/>
      <w:proofErr w:type="gramStart"/>
      <w:r w:rsidRPr="000E7469">
        <w:rPr>
          <w:rFonts w:eastAsia="MS Gothic" w:cs="Times New Roman"/>
          <w:bCs/>
          <w:shd w:val="clear" w:color="auto" w:fill="FFFFFF"/>
        </w:rPr>
        <w:t>doi</w:t>
      </w:r>
      <w:proofErr w:type="spellEnd"/>
      <w:proofErr w:type="gramEnd"/>
      <w:r w:rsidRPr="000E7469">
        <w:rPr>
          <w:rFonts w:eastAsia="MS Gothic" w:cs="Times New Roman"/>
          <w:bCs/>
          <w:shd w:val="clear" w:color="auto" w:fill="FFFFFF"/>
        </w:rPr>
        <w:t>: 10.1017/S1041610214002397</w:t>
      </w:r>
    </w:p>
    <w:p w14:paraId="49B47D67" w14:textId="77777777" w:rsidR="001A0F6B" w:rsidRPr="000E7469" w:rsidRDefault="00871FAE" w:rsidP="000E7469">
      <w:pPr>
        <w:spacing w:line="480" w:lineRule="auto"/>
        <w:rPr>
          <w:rFonts w:cs="Times New Roman"/>
          <w:vertAlign w:val="superscript"/>
        </w:rPr>
      </w:pPr>
      <w:r w:rsidRPr="000E7469">
        <w:rPr>
          <w:rFonts w:cs="Times New Roman"/>
          <w:vertAlign w:val="superscript"/>
        </w:rPr>
        <w:lastRenderedPageBreak/>
        <w:t>9</w:t>
      </w:r>
      <w:r w:rsidRPr="000E7469">
        <w:rPr>
          <w:rFonts w:cs="Times New Roman"/>
        </w:rPr>
        <w:t xml:space="preserve"> Snow, V., Beck, D., </w:t>
      </w:r>
      <w:proofErr w:type="spellStart"/>
      <w:r w:rsidRPr="000E7469">
        <w:rPr>
          <w:rFonts w:cs="Times New Roman"/>
        </w:rPr>
        <w:t>Budnitz</w:t>
      </w:r>
      <w:proofErr w:type="spellEnd"/>
      <w:r w:rsidRPr="000E7469">
        <w:rPr>
          <w:rFonts w:cs="Times New Roman"/>
        </w:rPr>
        <w:t xml:space="preserve">, T., Miller, D. C., Potter, J., Wears, R. L., … Williams, M. V. (2009). Transitions of Care Consensus Policy Statement: American College of Physicians, Society of General Internal Medicine, Society of Hospital Medicine, American Geriatrics Society, American College of Emergency Physicians, and Society for Academic Emergency Medicine. </w:t>
      </w:r>
      <w:proofErr w:type="gramStart"/>
      <w:r w:rsidRPr="000E7469">
        <w:rPr>
          <w:rFonts w:cs="Times New Roman"/>
          <w:i/>
        </w:rPr>
        <w:t>Journal of Hospital Medicine</w:t>
      </w:r>
      <w:r w:rsidRPr="000E7469">
        <w:rPr>
          <w:rFonts w:cs="Times New Roman"/>
        </w:rPr>
        <w:t xml:space="preserve">, </w:t>
      </w:r>
      <w:r w:rsidRPr="000E7469">
        <w:rPr>
          <w:rFonts w:cs="Times New Roman"/>
          <w:i/>
        </w:rPr>
        <w:t>4</w:t>
      </w:r>
      <w:r w:rsidRPr="000E7469">
        <w:rPr>
          <w:rFonts w:cs="Times New Roman"/>
        </w:rPr>
        <w:t>(6), 364-370.</w:t>
      </w:r>
      <w:proofErr w:type="gramEnd"/>
      <w:r w:rsidRPr="000E7469">
        <w:rPr>
          <w:rFonts w:cs="Times New Roman"/>
        </w:rPr>
        <w:t xml:space="preserve"> </w:t>
      </w:r>
    </w:p>
    <w:p w14:paraId="6BD1CB95" w14:textId="37BFC8C2" w:rsidR="001A0F6B" w:rsidRDefault="001A0F6B" w:rsidP="00855B09">
      <w:pPr>
        <w:spacing w:line="480" w:lineRule="auto"/>
        <w:rPr>
          <w:rFonts w:cs="Times New Roman"/>
        </w:rPr>
      </w:pPr>
      <w:r w:rsidRPr="000E7469">
        <w:rPr>
          <w:rFonts w:cs="Times New Roman"/>
          <w:vertAlign w:val="superscript"/>
        </w:rPr>
        <w:t>10</w:t>
      </w:r>
      <w:r w:rsidR="00D026DD" w:rsidRPr="000E7469">
        <w:rPr>
          <w:rFonts w:cs="Times New Roman"/>
        </w:rPr>
        <w:t xml:space="preserve"> </w:t>
      </w:r>
      <w:proofErr w:type="spellStart"/>
      <w:r w:rsidRPr="000E7469">
        <w:rPr>
          <w:rFonts w:cs="Times New Roman"/>
        </w:rPr>
        <w:t>Mansbach</w:t>
      </w:r>
      <w:proofErr w:type="spellEnd"/>
      <w:r w:rsidRPr="000E7469">
        <w:rPr>
          <w:rFonts w:cs="Times New Roman"/>
        </w:rPr>
        <w:t xml:space="preserve">, W. E., MacDougall, E. E., &amp; </w:t>
      </w:r>
      <w:proofErr w:type="spellStart"/>
      <w:r w:rsidRPr="000E7469">
        <w:rPr>
          <w:rFonts w:cs="Times New Roman"/>
        </w:rPr>
        <w:t>Rosenzweig</w:t>
      </w:r>
      <w:proofErr w:type="spellEnd"/>
      <w:r w:rsidRPr="000E7469">
        <w:rPr>
          <w:rFonts w:cs="Times New Roman"/>
        </w:rPr>
        <w:t xml:space="preserve">, A. S. (2012). The Brief Cognitive Assessment Tool (BCAT): A new test emphasizing contextual memory, executive functions, </w:t>
      </w:r>
      <w:proofErr w:type="spellStart"/>
      <w:r w:rsidRPr="000E7469">
        <w:rPr>
          <w:rFonts w:cs="Times New Roman"/>
        </w:rPr>
        <w:t>attentional</w:t>
      </w:r>
      <w:proofErr w:type="spellEnd"/>
      <w:r w:rsidRPr="000E7469">
        <w:rPr>
          <w:rFonts w:cs="Times New Roman"/>
        </w:rPr>
        <w:t xml:space="preserve"> capacity, and the prediction of instrumental activities of daily living.</w:t>
      </w:r>
      <w:r w:rsidR="00A3541B">
        <w:rPr>
          <w:rFonts w:cs="Times New Roman"/>
        </w:rPr>
        <w:t xml:space="preserve"> </w:t>
      </w:r>
      <w:proofErr w:type="gramStart"/>
      <w:r w:rsidRPr="00153AF9">
        <w:rPr>
          <w:rFonts w:cs="Times New Roman"/>
          <w:i/>
        </w:rPr>
        <w:t>Journal of Clinical and Experimental Neuropsychology</w:t>
      </w:r>
      <w:r w:rsidRPr="000E7469">
        <w:rPr>
          <w:rFonts w:cs="Times New Roman"/>
        </w:rPr>
        <w:t>, 34(2), 183-194.</w:t>
      </w:r>
      <w:proofErr w:type="gramEnd"/>
      <w:r w:rsidR="00A3541B">
        <w:rPr>
          <w:rFonts w:cs="Times New Roman"/>
        </w:rPr>
        <w:t xml:space="preserve"> </w:t>
      </w:r>
    </w:p>
    <w:p w14:paraId="295BEA4E" w14:textId="77777777" w:rsidR="00855B09" w:rsidRPr="00855B09" w:rsidRDefault="005A59B5" w:rsidP="00855B09">
      <w:pPr>
        <w:spacing w:line="480" w:lineRule="auto"/>
        <w:rPr>
          <w:rFonts w:cs="Times New Roman"/>
        </w:rPr>
      </w:pPr>
      <w:r w:rsidRPr="00855B09">
        <w:rPr>
          <w:rFonts w:cs="Times New Roman"/>
          <w:vertAlign w:val="superscript"/>
        </w:rPr>
        <w:t xml:space="preserve">11 </w:t>
      </w:r>
      <w:proofErr w:type="spellStart"/>
      <w:r w:rsidR="00855B09" w:rsidRPr="00855B09">
        <w:rPr>
          <w:rFonts w:cs="Times New Roman"/>
        </w:rPr>
        <w:t>Mansbach</w:t>
      </w:r>
      <w:proofErr w:type="spellEnd"/>
      <w:r w:rsidR="00855B09" w:rsidRPr="00855B09">
        <w:rPr>
          <w:rFonts w:cs="Times New Roman"/>
        </w:rPr>
        <w:t>, W. E., Mace, R. A., &amp; Clark, K. M. (2014). Differentiating levels of cognitive</w:t>
      </w:r>
    </w:p>
    <w:p w14:paraId="64BF293A" w14:textId="77777777" w:rsidR="00855B09" w:rsidRPr="00855B09" w:rsidRDefault="00855B09" w:rsidP="00855B09">
      <w:pPr>
        <w:spacing w:line="480" w:lineRule="auto"/>
        <w:ind w:left="720" w:hanging="720"/>
        <w:rPr>
          <w:rFonts w:cs="Times New Roman"/>
        </w:rPr>
      </w:pPr>
      <w:proofErr w:type="gramStart"/>
      <w:r w:rsidRPr="00855B09">
        <w:rPr>
          <w:rFonts w:cs="Times New Roman"/>
        </w:rPr>
        <w:t>functioning</w:t>
      </w:r>
      <w:proofErr w:type="gramEnd"/>
      <w:r w:rsidRPr="00855B09">
        <w:rPr>
          <w:rFonts w:cs="Times New Roman"/>
        </w:rPr>
        <w:t>: a comparison of the Brief Interview for Mental Status (BIMS) and the Brief</w:t>
      </w:r>
    </w:p>
    <w:p w14:paraId="1778D36D" w14:textId="77777777" w:rsidR="00855B09" w:rsidRPr="00855B09" w:rsidRDefault="00855B09" w:rsidP="00855B09">
      <w:pPr>
        <w:spacing w:line="480" w:lineRule="auto"/>
        <w:ind w:left="720" w:hanging="720"/>
        <w:rPr>
          <w:rFonts w:cs="Times New Roman"/>
        </w:rPr>
      </w:pPr>
      <w:r w:rsidRPr="00855B09">
        <w:rPr>
          <w:rFonts w:cs="Times New Roman"/>
        </w:rPr>
        <w:t xml:space="preserve">Cognitive Assessment Tool (BCAT) in a nursing home sample. </w:t>
      </w:r>
      <w:r w:rsidRPr="00855B09">
        <w:rPr>
          <w:rFonts w:cs="Times New Roman"/>
          <w:i/>
        </w:rPr>
        <w:t>Aging and Mental Health</w:t>
      </w:r>
      <w:r w:rsidRPr="00855B09">
        <w:rPr>
          <w:rFonts w:cs="Times New Roman"/>
        </w:rPr>
        <w:t xml:space="preserve">, </w:t>
      </w:r>
      <w:r w:rsidRPr="00855B09">
        <w:rPr>
          <w:rFonts w:cs="Times New Roman"/>
          <w:i/>
        </w:rPr>
        <w:t>18</w:t>
      </w:r>
      <w:r w:rsidRPr="00855B09">
        <w:rPr>
          <w:rFonts w:cs="Times New Roman"/>
        </w:rPr>
        <w:t>(7),</w:t>
      </w:r>
    </w:p>
    <w:p w14:paraId="66D89500" w14:textId="1153BC24" w:rsidR="00855B09" w:rsidRPr="00855B09" w:rsidRDefault="00855B09" w:rsidP="00855B09">
      <w:pPr>
        <w:spacing w:line="480" w:lineRule="auto"/>
        <w:ind w:left="720" w:hanging="720"/>
        <w:rPr>
          <w:rFonts w:cs="Times New Roman"/>
        </w:rPr>
      </w:pPr>
      <w:r w:rsidRPr="00855B09">
        <w:rPr>
          <w:rFonts w:cs="Times New Roman"/>
        </w:rPr>
        <w:t xml:space="preserve">921-928. </w:t>
      </w:r>
      <w:proofErr w:type="spellStart"/>
      <w:proofErr w:type="gramStart"/>
      <w:r w:rsidRPr="00855B09">
        <w:rPr>
          <w:rFonts w:cs="Times New Roman"/>
        </w:rPr>
        <w:t>doi</w:t>
      </w:r>
      <w:proofErr w:type="spellEnd"/>
      <w:proofErr w:type="gramEnd"/>
      <w:r w:rsidRPr="00855B09">
        <w:rPr>
          <w:rFonts w:cs="Times New Roman"/>
        </w:rPr>
        <w:t>: 10.1080/13607863.2014.899971</w:t>
      </w:r>
    </w:p>
    <w:p w14:paraId="1F2E7466" w14:textId="18944C75" w:rsidR="001A0F6B" w:rsidRPr="000E7469" w:rsidRDefault="00871FAE" w:rsidP="000E7469">
      <w:pPr>
        <w:spacing w:line="480" w:lineRule="auto"/>
        <w:rPr>
          <w:rFonts w:cs="Times New Roman"/>
          <w:vertAlign w:val="superscript"/>
        </w:rPr>
      </w:pPr>
      <w:proofErr w:type="gramStart"/>
      <w:r w:rsidRPr="000E7469">
        <w:rPr>
          <w:rFonts w:cs="Times New Roman"/>
          <w:vertAlign w:val="superscript"/>
        </w:rPr>
        <w:t>1</w:t>
      </w:r>
      <w:r w:rsidR="005A59B5">
        <w:rPr>
          <w:rFonts w:cs="Times New Roman"/>
          <w:vertAlign w:val="superscript"/>
        </w:rPr>
        <w:t>2</w:t>
      </w:r>
      <w:r w:rsidR="00EC1CDF" w:rsidRPr="000E7469">
        <w:rPr>
          <w:rFonts w:cs="Times New Roman"/>
        </w:rPr>
        <w:t xml:space="preserve"> </w:t>
      </w:r>
      <w:r w:rsidR="001A0F6B" w:rsidRPr="000E7469">
        <w:rPr>
          <w:rFonts w:cs="Times New Roman"/>
        </w:rPr>
        <w:t>Alzheimer’s Association.</w:t>
      </w:r>
      <w:proofErr w:type="gramEnd"/>
      <w:r w:rsidR="001A0F6B" w:rsidRPr="000E7469">
        <w:rPr>
          <w:rFonts w:cs="Times New Roman"/>
        </w:rPr>
        <w:t xml:space="preserve"> </w:t>
      </w:r>
      <w:proofErr w:type="gramStart"/>
      <w:r w:rsidR="001A0F6B" w:rsidRPr="000E7469">
        <w:rPr>
          <w:rFonts w:cs="Times New Roman"/>
        </w:rPr>
        <w:t>Latest Alzheimer's Facts and Figures.</w:t>
      </w:r>
      <w:proofErr w:type="gramEnd"/>
      <w:r w:rsidR="001A0F6B" w:rsidRPr="000E7469">
        <w:rPr>
          <w:rFonts w:cs="Times New Roman"/>
        </w:rPr>
        <w:t xml:space="preserve"> Retrieved from, http://www.alz.org/facts/</w:t>
      </w:r>
    </w:p>
    <w:p w14:paraId="020DF81A" w14:textId="0C45DAC1" w:rsidR="00FD1CB8" w:rsidRDefault="001A0F6B" w:rsidP="00FF47B7">
      <w:pPr>
        <w:spacing w:line="480" w:lineRule="auto"/>
        <w:rPr>
          <w:rFonts w:cs="Times New Roman"/>
        </w:rPr>
      </w:pPr>
      <w:r w:rsidRPr="000E7469">
        <w:rPr>
          <w:rFonts w:cs="Times New Roman"/>
          <w:vertAlign w:val="superscript"/>
        </w:rPr>
        <w:t>1</w:t>
      </w:r>
      <w:r w:rsidR="005A59B5">
        <w:rPr>
          <w:rFonts w:cs="Times New Roman"/>
          <w:vertAlign w:val="superscript"/>
        </w:rPr>
        <w:t>3</w:t>
      </w:r>
      <w:r w:rsidR="00FD1CB8" w:rsidRPr="000E7469">
        <w:rPr>
          <w:rFonts w:cs="Times New Roman"/>
        </w:rPr>
        <w:t xml:space="preserve"> </w:t>
      </w:r>
      <w:r w:rsidRPr="000E7469">
        <w:rPr>
          <w:rFonts w:cs="Times New Roman"/>
        </w:rPr>
        <w:t xml:space="preserve">de </w:t>
      </w:r>
      <w:proofErr w:type="spellStart"/>
      <w:r w:rsidRPr="000E7469">
        <w:rPr>
          <w:rFonts w:cs="Times New Roman"/>
        </w:rPr>
        <w:t>Vugt</w:t>
      </w:r>
      <w:proofErr w:type="spellEnd"/>
      <w:r w:rsidRPr="000E7469">
        <w:rPr>
          <w:rFonts w:cs="Times New Roman"/>
        </w:rPr>
        <w:t xml:space="preserve">, M. E., </w:t>
      </w:r>
      <w:proofErr w:type="spellStart"/>
      <w:r w:rsidRPr="000E7469">
        <w:rPr>
          <w:rFonts w:cs="Times New Roman"/>
        </w:rPr>
        <w:t>Jolles</w:t>
      </w:r>
      <w:proofErr w:type="spellEnd"/>
      <w:r w:rsidRPr="000E7469">
        <w:rPr>
          <w:rFonts w:cs="Times New Roman"/>
        </w:rPr>
        <w:t xml:space="preserve">, J., van </w:t>
      </w:r>
      <w:proofErr w:type="spellStart"/>
      <w:r w:rsidRPr="000E7469">
        <w:rPr>
          <w:rFonts w:cs="Times New Roman"/>
        </w:rPr>
        <w:t>Osch</w:t>
      </w:r>
      <w:proofErr w:type="spellEnd"/>
      <w:r w:rsidRPr="000E7469">
        <w:rPr>
          <w:rFonts w:cs="Times New Roman"/>
        </w:rPr>
        <w:t xml:space="preserve">, L., Stevens, F., </w:t>
      </w:r>
      <w:proofErr w:type="spellStart"/>
      <w:r w:rsidRPr="000E7469">
        <w:rPr>
          <w:rFonts w:cs="Times New Roman"/>
        </w:rPr>
        <w:t>Aalten</w:t>
      </w:r>
      <w:proofErr w:type="spellEnd"/>
      <w:r w:rsidRPr="000E7469">
        <w:rPr>
          <w:rFonts w:cs="Times New Roman"/>
        </w:rPr>
        <w:t xml:space="preserve">, P., </w:t>
      </w:r>
      <w:proofErr w:type="spellStart"/>
      <w:r w:rsidRPr="000E7469">
        <w:rPr>
          <w:rFonts w:cs="Times New Roman"/>
        </w:rPr>
        <w:t>Lousberg</w:t>
      </w:r>
      <w:proofErr w:type="spellEnd"/>
      <w:r w:rsidRPr="000E7469">
        <w:rPr>
          <w:rFonts w:cs="Times New Roman"/>
        </w:rPr>
        <w:t xml:space="preserve">, </w:t>
      </w:r>
      <w:proofErr w:type="spellStart"/>
      <w:r w:rsidRPr="000E7469">
        <w:rPr>
          <w:rFonts w:cs="Times New Roman"/>
        </w:rPr>
        <w:t>Verhey</w:t>
      </w:r>
      <w:proofErr w:type="spellEnd"/>
      <w:r w:rsidRPr="000E7469">
        <w:rPr>
          <w:rFonts w:cs="Times New Roman"/>
        </w:rPr>
        <w:t xml:space="preserve">, F. R. (2006). Cognitive functioning in spousal caregivers of dementia patients: findings from the prospective MAASBED study. </w:t>
      </w:r>
      <w:proofErr w:type="gramStart"/>
      <w:r w:rsidRPr="000E7469">
        <w:rPr>
          <w:rFonts w:cs="Times New Roman"/>
          <w:i/>
        </w:rPr>
        <w:t>Age &amp; Ageing</w:t>
      </w:r>
      <w:r w:rsidRPr="000E7469">
        <w:rPr>
          <w:rFonts w:cs="Times New Roman"/>
        </w:rPr>
        <w:t xml:space="preserve">, </w:t>
      </w:r>
      <w:r w:rsidRPr="000E7469">
        <w:rPr>
          <w:rFonts w:cs="Times New Roman"/>
          <w:i/>
        </w:rPr>
        <w:t>35</w:t>
      </w:r>
      <w:r w:rsidRPr="000E7469">
        <w:rPr>
          <w:rFonts w:cs="Times New Roman"/>
        </w:rPr>
        <w:t>(2), 160-166.</w:t>
      </w:r>
      <w:proofErr w:type="gramEnd"/>
    </w:p>
    <w:p w14:paraId="116EC4AA" w14:textId="56DF0136" w:rsidR="008336D0" w:rsidRPr="008336D0" w:rsidRDefault="008336D0" w:rsidP="00FF47B7">
      <w:pPr>
        <w:spacing w:line="480" w:lineRule="auto"/>
        <w:rPr>
          <w:rFonts w:cs="Times New Roman"/>
          <w:vertAlign w:val="superscript"/>
        </w:rPr>
      </w:pPr>
      <w:r>
        <w:rPr>
          <w:rFonts w:cs="Times New Roman"/>
          <w:vertAlign w:val="superscript"/>
        </w:rPr>
        <w:t>14</w:t>
      </w:r>
      <w:r w:rsidR="009804F3">
        <w:rPr>
          <w:rFonts w:cs="Times New Roman"/>
          <w:vertAlign w:val="superscript"/>
        </w:rPr>
        <w:t xml:space="preserve"> </w:t>
      </w:r>
      <w:proofErr w:type="spellStart"/>
      <w:r w:rsidRPr="00FF47B7">
        <w:rPr>
          <w:rFonts w:cs="Times New Roman"/>
        </w:rPr>
        <w:t>Mansbach</w:t>
      </w:r>
      <w:proofErr w:type="spellEnd"/>
      <w:r w:rsidRPr="00FF47B7">
        <w:rPr>
          <w:rFonts w:cs="Times New Roman"/>
        </w:rPr>
        <w:t xml:space="preserve">, W. E., &amp; Mace, R. A. (in press). The Brief Cognitive Impairment Scale (BCIS): Preliminary investigation of a severe-stage dementia test emphasizing cognitive processing and interpersonal tolerance. </w:t>
      </w:r>
      <w:proofErr w:type="gramStart"/>
      <w:r w:rsidRPr="00FF47B7">
        <w:rPr>
          <w:rFonts w:cs="Times New Roman"/>
          <w:i/>
        </w:rPr>
        <w:t>Aging, Neuropsychology, and Cognition</w:t>
      </w:r>
      <w:r w:rsidRPr="00FF47B7">
        <w:rPr>
          <w:rFonts w:cs="Times New Roman"/>
        </w:rPr>
        <w:t>.</w:t>
      </w:r>
      <w:proofErr w:type="gramEnd"/>
      <w:r w:rsidRPr="00FF47B7">
        <w:rPr>
          <w:rFonts w:cs="Times New Roman"/>
        </w:rPr>
        <w:t xml:space="preserve"> 1-16.</w:t>
      </w:r>
    </w:p>
    <w:p w14:paraId="00675338" w14:textId="290C255F" w:rsidR="00FF47B7" w:rsidRPr="00FF47B7" w:rsidRDefault="008336D0" w:rsidP="00FF47B7">
      <w:pPr>
        <w:spacing w:line="480" w:lineRule="auto"/>
        <w:rPr>
          <w:rFonts w:cs="Times New Roman"/>
        </w:rPr>
      </w:pPr>
      <w:r>
        <w:rPr>
          <w:rFonts w:cs="Times New Roman"/>
          <w:vertAlign w:val="superscript"/>
        </w:rPr>
        <w:lastRenderedPageBreak/>
        <w:t>15</w:t>
      </w:r>
      <w:r w:rsidR="009804F3">
        <w:rPr>
          <w:rFonts w:cs="Times New Roman"/>
          <w:vertAlign w:val="superscript"/>
        </w:rPr>
        <w:t xml:space="preserve"> </w:t>
      </w:r>
      <w:proofErr w:type="spellStart"/>
      <w:r w:rsidR="00FF47B7" w:rsidRPr="00FF47B7">
        <w:rPr>
          <w:rFonts w:cs="Times New Roman"/>
          <w:shd w:val="clear" w:color="auto" w:fill="FFFFFF"/>
        </w:rPr>
        <w:t>Mansbach</w:t>
      </w:r>
      <w:proofErr w:type="spellEnd"/>
      <w:r w:rsidR="00FF47B7" w:rsidRPr="00FF47B7">
        <w:rPr>
          <w:rFonts w:cs="Times New Roman"/>
          <w:shd w:val="clear" w:color="auto" w:fill="FFFFFF"/>
        </w:rPr>
        <w:t>, W. E., Mace, R. A.,</w:t>
      </w:r>
      <w:r w:rsidR="00FF47B7" w:rsidRPr="00FF47B7">
        <w:rPr>
          <w:rFonts w:cs="Times New Roman"/>
          <w:i/>
          <w:shd w:val="clear" w:color="auto" w:fill="FFFFFF"/>
        </w:rPr>
        <w:t xml:space="preserve"> </w:t>
      </w:r>
      <w:r w:rsidR="00FF47B7" w:rsidRPr="00FF47B7">
        <w:rPr>
          <w:rFonts w:cs="Times New Roman"/>
          <w:shd w:val="clear" w:color="auto" w:fill="FFFFFF"/>
        </w:rPr>
        <w:t xml:space="preserve">Clark, K. M., &amp; Firth, I. M. (2016). Meaningful activity for long-term care residents with dementia: A comparison of activities and raters. </w:t>
      </w:r>
      <w:proofErr w:type="gramStart"/>
      <w:r w:rsidR="00FF47B7" w:rsidRPr="00FF47B7">
        <w:rPr>
          <w:rFonts w:cs="Times New Roman"/>
          <w:i/>
          <w:shd w:val="clear" w:color="auto" w:fill="FFFFFF"/>
        </w:rPr>
        <w:t>The Gerontologist</w:t>
      </w:r>
      <w:r w:rsidR="001F5D3D">
        <w:rPr>
          <w:rFonts w:cs="Times New Roman"/>
          <w:i/>
          <w:shd w:val="clear" w:color="auto" w:fill="FFFFFF"/>
        </w:rPr>
        <w:t>,</w:t>
      </w:r>
      <w:r w:rsidR="008278A7">
        <w:rPr>
          <w:rFonts w:cs="Times New Roman"/>
          <w:shd w:val="clear" w:color="auto" w:fill="FFFFFF"/>
        </w:rPr>
        <w:t xml:space="preserve"> 1-8.</w:t>
      </w:r>
      <w:proofErr w:type="gramEnd"/>
      <w:r w:rsidR="008278A7">
        <w:rPr>
          <w:rFonts w:cs="Times New Roman"/>
          <w:shd w:val="clear" w:color="auto" w:fill="FFFFFF"/>
        </w:rPr>
        <w:t xml:space="preserve"> </w:t>
      </w:r>
      <w:proofErr w:type="spellStart"/>
      <w:proofErr w:type="gramStart"/>
      <w:r w:rsidR="00FF47B7" w:rsidRPr="008278A7">
        <w:rPr>
          <w:rFonts w:cs="Times New Roman"/>
        </w:rPr>
        <w:t>doi</w:t>
      </w:r>
      <w:proofErr w:type="spellEnd"/>
      <w:proofErr w:type="gramEnd"/>
      <w:r w:rsidR="00FF47B7" w:rsidRPr="00FF47B7">
        <w:rPr>
          <w:rFonts w:cs="Times New Roman"/>
        </w:rPr>
        <w:t>: 10.1093/</w:t>
      </w:r>
      <w:proofErr w:type="spellStart"/>
      <w:r w:rsidR="00FF47B7" w:rsidRPr="00FF47B7">
        <w:rPr>
          <w:rFonts w:cs="Times New Roman"/>
        </w:rPr>
        <w:t>geront</w:t>
      </w:r>
      <w:proofErr w:type="spellEnd"/>
      <w:r w:rsidR="00FF47B7" w:rsidRPr="00FF47B7">
        <w:rPr>
          <w:rFonts w:cs="Times New Roman"/>
        </w:rPr>
        <w:t>/gnv694</w:t>
      </w:r>
    </w:p>
    <w:p w14:paraId="2AC21719" w14:textId="7FEAAEE3" w:rsidR="00AD4BDE" w:rsidRPr="00AD4BDE" w:rsidRDefault="00AD4BDE" w:rsidP="000E7469">
      <w:pPr>
        <w:spacing w:line="480" w:lineRule="auto"/>
        <w:rPr>
          <w:rStyle w:val="Hyperlink"/>
          <w:rFonts w:cs="Times New Roman"/>
        </w:rPr>
      </w:pPr>
    </w:p>
    <w:p w14:paraId="20C0C905" w14:textId="77777777" w:rsidR="001A0F6B" w:rsidRPr="000E7469" w:rsidRDefault="001A0F6B" w:rsidP="000E7469">
      <w:pPr>
        <w:spacing w:line="480" w:lineRule="auto"/>
        <w:rPr>
          <w:rStyle w:val="Hyperlink"/>
          <w:rFonts w:cs="Times New Roman"/>
        </w:rPr>
      </w:pPr>
    </w:p>
    <w:p w14:paraId="365C1B9F" w14:textId="77777777" w:rsidR="001A0F6B" w:rsidRDefault="001A0F6B" w:rsidP="000E7469">
      <w:pPr>
        <w:spacing w:line="480" w:lineRule="auto"/>
        <w:outlineLvl w:val="0"/>
        <w:rPr>
          <w:rFonts w:cs="Times New Roman"/>
        </w:rPr>
      </w:pPr>
    </w:p>
    <w:p w14:paraId="1DB36F27" w14:textId="77777777" w:rsidR="00B760ED" w:rsidRDefault="00B760ED" w:rsidP="000E7469">
      <w:pPr>
        <w:spacing w:line="480" w:lineRule="auto"/>
        <w:outlineLvl w:val="0"/>
        <w:rPr>
          <w:rFonts w:cs="Times New Roman"/>
        </w:rPr>
      </w:pPr>
    </w:p>
    <w:p w14:paraId="07BBDAAD" w14:textId="77777777" w:rsidR="00B760ED" w:rsidRDefault="00B760ED" w:rsidP="000E7469">
      <w:pPr>
        <w:spacing w:line="480" w:lineRule="auto"/>
        <w:outlineLvl w:val="0"/>
        <w:rPr>
          <w:rFonts w:cs="Times New Roman"/>
        </w:rPr>
      </w:pPr>
    </w:p>
    <w:p w14:paraId="4CC0D878" w14:textId="77777777" w:rsidR="00B760ED" w:rsidRDefault="00B760ED" w:rsidP="000E7469">
      <w:pPr>
        <w:spacing w:line="480" w:lineRule="auto"/>
        <w:outlineLvl w:val="0"/>
        <w:rPr>
          <w:rFonts w:cs="Times New Roman"/>
        </w:rPr>
      </w:pPr>
    </w:p>
    <w:p w14:paraId="1D3D4139" w14:textId="77777777" w:rsidR="00B760ED" w:rsidRDefault="00B760ED" w:rsidP="000E7469">
      <w:pPr>
        <w:spacing w:line="480" w:lineRule="auto"/>
        <w:outlineLvl w:val="0"/>
        <w:rPr>
          <w:rFonts w:cs="Times New Roman"/>
        </w:rPr>
      </w:pPr>
    </w:p>
    <w:p w14:paraId="51FBE213" w14:textId="77777777" w:rsidR="00B760ED" w:rsidRDefault="00B760ED" w:rsidP="000E7469">
      <w:pPr>
        <w:spacing w:line="480" w:lineRule="auto"/>
        <w:outlineLvl w:val="0"/>
        <w:rPr>
          <w:rFonts w:cs="Times New Roman"/>
        </w:rPr>
      </w:pPr>
    </w:p>
    <w:p w14:paraId="471CDFD9" w14:textId="77777777" w:rsidR="00B760ED" w:rsidRDefault="00B760ED" w:rsidP="000E7469">
      <w:pPr>
        <w:spacing w:line="480" w:lineRule="auto"/>
        <w:outlineLvl w:val="0"/>
        <w:rPr>
          <w:rFonts w:cs="Times New Roman"/>
        </w:rPr>
      </w:pPr>
    </w:p>
    <w:p w14:paraId="39C465B8" w14:textId="77777777" w:rsidR="00B760ED" w:rsidRDefault="00B760ED" w:rsidP="000E7469">
      <w:pPr>
        <w:spacing w:line="480" w:lineRule="auto"/>
        <w:outlineLvl w:val="0"/>
        <w:rPr>
          <w:rFonts w:cs="Times New Roman"/>
        </w:rPr>
      </w:pPr>
    </w:p>
    <w:p w14:paraId="3E7F0E2C" w14:textId="77777777" w:rsidR="00B760ED" w:rsidRDefault="00B760ED" w:rsidP="000E7469">
      <w:pPr>
        <w:spacing w:line="480" w:lineRule="auto"/>
        <w:outlineLvl w:val="0"/>
        <w:rPr>
          <w:rFonts w:cs="Times New Roman"/>
        </w:rPr>
      </w:pPr>
    </w:p>
    <w:p w14:paraId="2B4F8F05" w14:textId="77777777" w:rsidR="00B760ED" w:rsidRDefault="00B760ED" w:rsidP="000E7469">
      <w:pPr>
        <w:spacing w:line="480" w:lineRule="auto"/>
        <w:outlineLvl w:val="0"/>
        <w:rPr>
          <w:rFonts w:cs="Times New Roman"/>
        </w:rPr>
      </w:pPr>
    </w:p>
    <w:p w14:paraId="262E6EE9" w14:textId="77777777" w:rsidR="00B760ED" w:rsidRDefault="00B760ED" w:rsidP="000E7469">
      <w:pPr>
        <w:spacing w:line="480" w:lineRule="auto"/>
        <w:outlineLvl w:val="0"/>
        <w:rPr>
          <w:rFonts w:cs="Times New Roman"/>
        </w:rPr>
      </w:pPr>
    </w:p>
    <w:p w14:paraId="5E61AE0B" w14:textId="77777777" w:rsidR="00B760ED" w:rsidRDefault="00B760ED" w:rsidP="000E7469">
      <w:pPr>
        <w:spacing w:line="480" w:lineRule="auto"/>
        <w:outlineLvl w:val="0"/>
        <w:rPr>
          <w:rFonts w:cs="Times New Roman"/>
        </w:rPr>
      </w:pPr>
    </w:p>
    <w:p w14:paraId="645ECE2F" w14:textId="77777777" w:rsidR="00B760ED" w:rsidRDefault="00B760ED" w:rsidP="000E7469">
      <w:pPr>
        <w:spacing w:line="480" w:lineRule="auto"/>
        <w:outlineLvl w:val="0"/>
        <w:rPr>
          <w:rFonts w:cs="Times New Roman"/>
        </w:rPr>
      </w:pPr>
    </w:p>
    <w:p w14:paraId="2418DA63" w14:textId="77777777" w:rsidR="00B760ED" w:rsidRDefault="00B760ED" w:rsidP="000E7469">
      <w:pPr>
        <w:spacing w:line="480" w:lineRule="auto"/>
        <w:outlineLvl w:val="0"/>
        <w:rPr>
          <w:rFonts w:cs="Times New Roman"/>
        </w:rPr>
      </w:pPr>
    </w:p>
    <w:p w14:paraId="687EBE5C" w14:textId="77777777" w:rsidR="00B760ED" w:rsidRDefault="00B760ED" w:rsidP="000E7469">
      <w:pPr>
        <w:spacing w:line="480" w:lineRule="auto"/>
        <w:outlineLvl w:val="0"/>
        <w:rPr>
          <w:rFonts w:cs="Times New Roman"/>
        </w:rPr>
      </w:pPr>
    </w:p>
    <w:p w14:paraId="6159CAAD" w14:textId="77777777" w:rsidR="00B760ED" w:rsidRDefault="00B760ED" w:rsidP="000E7469">
      <w:pPr>
        <w:spacing w:line="480" w:lineRule="auto"/>
        <w:outlineLvl w:val="0"/>
        <w:rPr>
          <w:rFonts w:cs="Times New Roman"/>
        </w:rPr>
      </w:pPr>
    </w:p>
    <w:p w14:paraId="065D6C4F" w14:textId="77777777" w:rsidR="00B760ED" w:rsidRDefault="00B760ED" w:rsidP="000E7469">
      <w:pPr>
        <w:spacing w:line="480" w:lineRule="auto"/>
        <w:outlineLvl w:val="0"/>
        <w:rPr>
          <w:rFonts w:cs="Times New Roman"/>
        </w:rPr>
      </w:pPr>
    </w:p>
    <w:p w14:paraId="0CEAE462" w14:textId="77777777" w:rsidR="009A052F" w:rsidRDefault="009A052F" w:rsidP="000E7469">
      <w:pPr>
        <w:spacing w:line="480" w:lineRule="auto"/>
        <w:outlineLvl w:val="0"/>
        <w:rPr>
          <w:rFonts w:cs="Times New Roman"/>
        </w:rPr>
      </w:pPr>
    </w:p>
    <w:p w14:paraId="2237C60B" w14:textId="5340DF77" w:rsidR="004B472A" w:rsidRPr="000E7469" w:rsidRDefault="00FA7067" w:rsidP="000E7469">
      <w:pPr>
        <w:spacing w:line="480" w:lineRule="auto"/>
        <w:outlineLvl w:val="0"/>
        <w:rPr>
          <w:rFonts w:cs="Times New Roman"/>
        </w:rPr>
      </w:pPr>
      <w:r w:rsidRPr="000E7469">
        <w:rPr>
          <w:rFonts w:cs="Times New Roman"/>
          <w:i/>
        </w:rPr>
        <w:lastRenderedPageBreak/>
        <w:t>Appendix</w:t>
      </w:r>
      <w:r w:rsidR="00855B09">
        <w:rPr>
          <w:rFonts w:cs="Times New Roman"/>
          <w:i/>
        </w:rPr>
        <w:t xml:space="preserve"> 1</w:t>
      </w:r>
      <w:r w:rsidR="00F3665B" w:rsidRPr="000E7469">
        <w:rPr>
          <w:rFonts w:cs="Times New Roman"/>
          <w:i/>
        </w:rPr>
        <w:t>.</w:t>
      </w:r>
      <w:r w:rsidR="00F3665B" w:rsidRPr="000E7469">
        <w:rPr>
          <w:rFonts w:cs="Times New Roman"/>
        </w:rPr>
        <w:t xml:space="preserve"> </w:t>
      </w:r>
      <w:r w:rsidR="004B472A" w:rsidRPr="000E7469">
        <w:rPr>
          <w:rFonts w:cs="Times New Roman"/>
        </w:rPr>
        <w:t>Supplemental</w:t>
      </w:r>
      <w:r w:rsidR="00F3665B" w:rsidRPr="000E7469">
        <w:rPr>
          <w:rFonts w:cs="Times New Roman"/>
        </w:rPr>
        <w:t xml:space="preserve"> survey responses</w:t>
      </w:r>
    </w:p>
    <w:p w14:paraId="3F8C54C0" w14:textId="0F1E0249" w:rsidR="004B472A" w:rsidRPr="00072295" w:rsidRDefault="004B472A" w:rsidP="000E7469">
      <w:pPr>
        <w:spacing w:line="480" w:lineRule="auto"/>
        <w:rPr>
          <w:rFonts w:eastAsia="Times New Roman" w:cs="Times New Roman"/>
          <w:i/>
        </w:rPr>
      </w:pPr>
      <w:r w:rsidRPr="00072295">
        <w:rPr>
          <w:rFonts w:eastAsia="Times New Roman" w:cs="Times New Roman"/>
          <w:i/>
          <w:shd w:val="clear" w:color="auto" w:fill="FFFFFF"/>
        </w:rPr>
        <w:t xml:space="preserve">“When a patient has been appropriately discharged from the nursing home, they are well-positioned to... Please select all below that apply.” </w:t>
      </w:r>
    </w:p>
    <w:p w14:paraId="7BE1D054" w14:textId="5C4EF03E"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Receive adequate supervision (if needed): 92.59%</w:t>
      </w:r>
    </w:p>
    <w:p w14:paraId="059C1668" w14:textId="77777777"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Be safe at home: 85.19%</w:t>
      </w:r>
    </w:p>
    <w:p w14:paraId="0BF04DBD" w14:textId="1359ABC9"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Maintain doctor appointments: 70.37%</w:t>
      </w:r>
    </w:p>
    <w:p w14:paraId="33F32CAD" w14:textId="77777777"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Avoid re-hospitalized within 30 days: 66.67%</w:t>
      </w:r>
    </w:p>
    <w:p w14:paraId="4A7375CE" w14:textId="41E8CDC1"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Move around as needed: 66.67%</w:t>
      </w:r>
    </w:p>
    <w:p w14:paraId="1305C1DE" w14:textId="77777777"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Manage medications: 62.96%</w:t>
      </w:r>
    </w:p>
    <w:p w14:paraId="757DEDC7" w14:textId="77777777"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Play a game or hobby: 51.85%</w:t>
      </w:r>
    </w:p>
    <w:p w14:paraId="665BF643" w14:textId="2439B013"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Socially engage with others: 48.15%</w:t>
      </w:r>
    </w:p>
    <w:p w14:paraId="653206FC" w14:textId="77777777"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Use household appliances: 40.74%</w:t>
      </w:r>
    </w:p>
    <w:p w14:paraId="4B42E263" w14:textId="77777777"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Prepare a balanced meal: 40.74%</w:t>
      </w:r>
    </w:p>
    <w:p w14:paraId="50A56E1B" w14:textId="45B477CE"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Remember appointments: 40.74%</w:t>
      </w:r>
    </w:p>
    <w:p w14:paraId="087AC9B3" w14:textId="37519516"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Handle finances (bills, taxes): 29.63%</w:t>
      </w:r>
    </w:p>
    <w:p w14:paraId="337AC8EC" w14:textId="2078F7FB"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Keep track of current events: 25.93%</w:t>
      </w:r>
    </w:p>
    <w:p w14:paraId="58EAB771" w14:textId="5C998017" w:rsidR="004B472A" w:rsidRPr="000E7469" w:rsidRDefault="004B472A" w:rsidP="000E7469">
      <w:pPr>
        <w:pStyle w:val="p1"/>
        <w:numPr>
          <w:ilvl w:val="0"/>
          <w:numId w:val="17"/>
        </w:numPr>
        <w:spacing w:line="480" w:lineRule="auto"/>
        <w:rPr>
          <w:rFonts w:ascii="Times New Roman" w:hAnsi="Times New Roman"/>
          <w:color w:val="auto"/>
          <w:sz w:val="24"/>
          <w:szCs w:val="24"/>
        </w:rPr>
      </w:pPr>
      <w:r w:rsidRPr="000E7469">
        <w:rPr>
          <w:rFonts w:ascii="Times New Roman" w:hAnsi="Times New Roman"/>
          <w:color w:val="auto"/>
          <w:sz w:val="24"/>
          <w:szCs w:val="24"/>
        </w:rPr>
        <w:t>Shop alone (clothes, groceries): 14.81%</w:t>
      </w:r>
    </w:p>
    <w:p w14:paraId="00C7C427" w14:textId="77777777" w:rsidR="00F3665B" w:rsidRPr="00072295" w:rsidRDefault="00F3665B" w:rsidP="000E7469">
      <w:pPr>
        <w:spacing w:line="480" w:lineRule="auto"/>
        <w:rPr>
          <w:rFonts w:eastAsia="Times New Roman" w:cs="Times New Roman"/>
          <w:i/>
        </w:rPr>
      </w:pPr>
      <w:r w:rsidRPr="00072295">
        <w:rPr>
          <w:rFonts w:eastAsia="Times New Roman" w:cs="Times New Roman"/>
          <w:i/>
          <w:shd w:val="clear" w:color="auto" w:fill="FFFFFF"/>
        </w:rPr>
        <w:t>“Please indicate other risks associated with having cognitive impairment.”</w:t>
      </w:r>
    </w:p>
    <w:p w14:paraId="0ABCC292"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“Isolation, poor nutritional intake, hygiene concerns”</w:t>
      </w:r>
    </w:p>
    <w:p w14:paraId="06810993"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“Residents are at risk for elder abuse by family, friends and strangers.”</w:t>
      </w:r>
    </w:p>
    <w:p w14:paraId="1F5903AA"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“Injury/accident. Depression/Anxiety”</w:t>
      </w:r>
    </w:p>
    <w:p w14:paraId="34EE55E1"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“Poor intake, wandering outside in inclement weather, driving when they shouldn't”</w:t>
      </w:r>
    </w:p>
    <w:p w14:paraId="36617503"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“Safety awareness with ADLs”</w:t>
      </w:r>
    </w:p>
    <w:p w14:paraId="53D2D53C"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lastRenderedPageBreak/>
        <w:t>“All kinds of accidents and hazards that could put themselves and potentially others at risk.”</w:t>
      </w:r>
    </w:p>
    <w:p w14:paraId="5A4B388F"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“Falls, safety, nourishment”</w:t>
      </w:r>
    </w:p>
    <w:p w14:paraId="12C5B705"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“Difficulty with managing ADLs &amp; transfers”</w:t>
      </w:r>
    </w:p>
    <w:p w14:paraId="460AF1F7"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“Safety”</w:t>
      </w:r>
    </w:p>
    <w:p w14:paraId="2CF15E95" w14:textId="77777777" w:rsidR="00F3665B" w:rsidRPr="000E7469" w:rsidRDefault="00F3665B" w:rsidP="000E7469">
      <w:pPr>
        <w:pStyle w:val="p1"/>
        <w:numPr>
          <w:ilvl w:val="0"/>
          <w:numId w:val="15"/>
        </w:numPr>
        <w:spacing w:line="480" w:lineRule="auto"/>
        <w:rPr>
          <w:rFonts w:ascii="Times New Roman" w:hAnsi="Times New Roman"/>
          <w:color w:val="auto"/>
          <w:sz w:val="24"/>
          <w:szCs w:val="24"/>
        </w:rPr>
      </w:pPr>
      <w:r w:rsidRPr="000E7469">
        <w:rPr>
          <w:rFonts w:ascii="Times New Roman" w:hAnsi="Times New Roman"/>
          <w:color w:val="auto"/>
          <w:sz w:val="24"/>
          <w:szCs w:val="24"/>
        </w:rPr>
        <w:t>“Elopement”</w:t>
      </w:r>
    </w:p>
    <w:p w14:paraId="0676DBB1" w14:textId="77777777" w:rsidR="00F3665B" w:rsidRDefault="00F3665B" w:rsidP="000E7469">
      <w:pPr>
        <w:spacing w:line="480" w:lineRule="auto"/>
        <w:rPr>
          <w:rFonts w:cs="Times New Roman"/>
        </w:rPr>
      </w:pPr>
    </w:p>
    <w:p w14:paraId="3784A65D" w14:textId="77777777" w:rsidR="00855B09" w:rsidRDefault="00855B09" w:rsidP="000E7469">
      <w:pPr>
        <w:spacing w:line="480" w:lineRule="auto"/>
        <w:rPr>
          <w:rFonts w:cs="Times New Roman"/>
        </w:rPr>
      </w:pPr>
    </w:p>
    <w:p w14:paraId="76EF1928" w14:textId="77777777" w:rsidR="00855B09" w:rsidRDefault="00855B09" w:rsidP="000E7469">
      <w:pPr>
        <w:spacing w:line="480" w:lineRule="auto"/>
        <w:rPr>
          <w:rFonts w:cs="Times New Roman"/>
        </w:rPr>
      </w:pPr>
    </w:p>
    <w:p w14:paraId="4DA5141C" w14:textId="77777777" w:rsidR="00855B09" w:rsidRDefault="00855B09" w:rsidP="000E7469">
      <w:pPr>
        <w:spacing w:line="480" w:lineRule="auto"/>
        <w:rPr>
          <w:rFonts w:cs="Times New Roman"/>
        </w:rPr>
      </w:pPr>
    </w:p>
    <w:p w14:paraId="51014452" w14:textId="77777777" w:rsidR="00855B09" w:rsidRDefault="00855B09" w:rsidP="000E7469">
      <w:pPr>
        <w:spacing w:line="480" w:lineRule="auto"/>
        <w:rPr>
          <w:rFonts w:cs="Times New Roman"/>
        </w:rPr>
      </w:pPr>
    </w:p>
    <w:p w14:paraId="38A6E8F0" w14:textId="77777777" w:rsidR="00855B09" w:rsidRDefault="00855B09" w:rsidP="000E7469">
      <w:pPr>
        <w:spacing w:line="480" w:lineRule="auto"/>
        <w:rPr>
          <w:rFonts w:cs="Times New Roman"/>
        </w:rPr>
      </w:pPr>
    </w:p>
    <w:p w14:paraId="76430F48" w14:textId="77777777" w:rsidR="00855B09" w:rsidRDefault="00855B09" w:rsidP="000E7469">
      <w:pPr>
        <w:spacing w:line="480" w:lineRule="auto"/>
        <w:rPr>
          <w:rFonts w:cs="Times New Roman"/>
        </w:rPr>
      </w:pPr>
    </w:p>
    <w:p w14:paraId="05AE4408" w14:textId="77777777" w:rsidR="00855B09" w:rsidRDefault="00855B09" w:rsidP="000E7469">
      <w:pPr>
        <w:spacing w:line="480" w:lineRule="auto"/>
        <w:rPr>
          <w:rFonts w:cs="Times New Roman"/>
        </w:rPr>
      </w:pPr>
    </w:p>
    <w:p w14:paraId="09749896" w14:textId="77777777" w:rsidR="00855B09" w:rsidRDefault="00855B09" w:rsidP="000E7469">
      <w:pPr>
        <w:spacing w:line="480" w:lineRule="auto"/>
        <w:rPr>
          <w:rFonts w:cs="Times New Roman"/>
        </w:rPr>
      </w:pPr>
    </w:p>
    <w:p w14:paraId="590E7660" w14:textId="77777777" w:rsidR="00855B09" w:rsidRDefault="00855B09" w:rsidP="000E7469">
      <w:pPr>
        <w:spacing w:line="480" w:lineRule="auto"/>
        <w:rPr>
          <w:rFonts w:cs="Times New Roman"/>
        </w:rPr>
      </w:pPr>
    </w:p>
    <w:p w14:paraId="0D91B961" w14:textId="77777777" w:rsidR="00D2497D" w:rsidRDefault="00D2497D" w:rsidP="000E7469">
      <w:pPr>
        <w:spacing w:line="480" w:lineRule="auto"/>
        <w:rPr>
          <w:rFonts w:cs="Times New Roman"/>
        </w:rPr>
      </w:pPr>
    </w:p>
    <w:p w14:paraId="2A81856C" w14:textId="77777777" w:rsidR="00D2497D" w:rsidRDefault="00D2497D" w:rsidP="000E7469">
      <w:pPr>
        <w:spacing w:line="480" w:lineRule="auto"/>
        <w:rPr>
          <w:rFonts w:cs="Times New Roman"/>
        </w:rPr>
      </w:pPr>
    </w:p>
    <w:p w14:paraId="45E84924" w14:textId="77777777" w:rsidR="00D2497D" w:rsidRDefault="00D2497D" w:rsidP="000E7469">
      <w:pPr>
        <w:spacing w:line="480" w:lineRule="auto"/>
        <w:rPr>
          <w:rFonts w:cs="Times New Roman"/>
        </w:rPr>
      </w:pPr>
    </w:p>
    <w:p w14:paraId="7B4AB9CC" w14:textId="77777777" w:rsidR="00D2497D" w:rsidRDefault="00D2497D" w:rsidP="000E7469">
      <w:pPr>
        <w:spacing w:line="480" w:lineRule="auto"/>
        <w:rPr>
          <w:rFonts w:cs="Times New Roman"/>
        </w:rPr>
      </w:pPr>
    </w:p>
    <w:p w14:paraId="7CC6D180" w14:textId="77777777" w:rsidR="00D2497D" w:rsidRDefault="00D2497D" w:rsidP="000E7469">
      <w:pPr>
        <w:spacing w:line="480" w:lineRule="auto"/>
        <w:rPr>
          <w:rFonts w:cs="Times New Roman"/>
        </w:rPr>
      </w:pPr>
    </w:p>
    <w:p w14:paraId="72600838" w14:textId="77777777" w:rsidR="00D2497D" w:rsidRDefault="00D2497D" w:rsidP="000E7469">
      <w:pPr>
        <w:spacing w:line="480" w:lineRule="auto"/>
        <w:rPr>
          <w:rFonts w:cs="Times New Roman"/>
        </w:rPr>
      </w:pPr>
    </w:p>
    <w:p w14:paraId="69283BC3" w14:textId="77777777" w:rsidR="00D2497D" w:rsidRDefault="00D2497D" w:rsidP="000E7469">
      <w:pPr>
        <w:spacing w:line="480" w:lineRule="auto"/>
        <w:rPr>
          <w:rFonts w:cs="Times New Roman"/>
        </w:rPr>
      </w:pPr>
    </w:p>
    <w:p w14:paraId="77642AC1" w14:textId="29727797" w:rsidR="00855B09" w:rsidRPr="00855B09" w:rsidRDefault="00855B09" w:rsidP="000E7469">
      <w:pPr>
        <w:spacing w:line="480" w:lineRule="auto"/>
        <w:rPr>
          <w:rFonts w:cs="Times New Roman"/>
        </w:rPr>
      </w:pPr>
      <w:r w:rsidRPr="00855B09">
        <w:rPr>
          <w:rFonts w:cs="Times New Roman"/>
          <w:i/>
        </w:rPr>
        <w:lastRenderedPageBreak/>
        <w:t>Appendix 2.</w:t>
      </w:r>
      <w:r>
        <w:rPr>
          <w:rFonts w:cs="Times New Roman"/>
        </w:rPr>
        <w:t xml:space="preserve"> Recommendations</w:t>
      </w:r>
    </w:p>
    <w:p w14:paraId="22F35A47" w14:textId="77777777" w:rsidR="00DD150C" w:rsidRDefault="00855B09" w:rsidP="00855B09">
      <w:pPr>
        <w:pStyle w:val="ListParagraph"/>
        <w:numPr>
          <w:ilvl w:val="0"/>
          <w:numId w:val="19"/>
        </w:numPr>
        <w:spacing w:line="480" w:lineRule="auto"/>
        <w:rPr>
          <w:rFonts w:cs="Times New Roman"/>
        </w:rPr>
      </w:pPr>
      <w:r w:rsidRPr="00DD150C">
        <w:rPr>
          <w:rFonts w:cs="Times New Roman"/>
        </w:rPr>
        <w:t xml:space="preserve">Core transition records should be transferred </w:t>
      </w:r>
      <w:r w:rsidRPr="00DD150C">
        <w:rPr>
          <w:rFonts w:cs="Times New Roman"/>
          <w:u w:val="single"/>
        </w:rPr>
        <w:t>prior</w:t>
      </w:r>
      <w:r w:rsidRPr="00DD150C">
        <w:rPr>
          <w:rFonts w:cs="Times New Roman"/>
        </w:rPr>
        <w:t xml:space="preserve"> to nursing home admissions</w:t>
      </w:r>
    </w:p>
    <w:p w14:paraId="0BD9959A" w14:textId="77777777" w:rsidR="00DD150C" w:rsidRDefault="00855B09" w:rsidP="00855B09">
      <w:pPr>
        <w:pStyle w:val="ListParagraph"/>
        <w:numPr>
          <w:ilvl w:val="0"/>
          <w:numId w:val="19"/>
        </w:numPr>
        <w:spacing w:line="480" w:lineRule="auto"/>
        <w:rPr>
          <w:rFonts w:cs="Times New Roman"/>
        </w:rPr>
      </w:pPr>
      <w:r w:rsidRPr="00DD150C">
        <w:rPr>
          <w:rFonts w:cs="Times New Roman"/>
        </w:rPr>
        <w:t>Core transition records should include information about cognitive status (inclusive of specific cognitive domains)</w:t>
      </w:r>
    </w:p>
    <w:p w14:paraId="7271108B" w14:textId="77777777" w:rsidR="00DD150C" w:rsidRDefault="00DD150C" w:rsidP="00855B09">
      <w:pPr>
        <w:pStyle w:val="ListParagraph"/>
        <w:numPr>
          <w:ilvl w:val="0"/>
          <w:numId w:val="19"/>
        </w:numPr>
        <w:spacing w:line="480" w:lineRule="auto"/>
        <w:rPr>
          <w:rFonts w:cs="Times New Roman"/>
        </w:rPr>
      </w:pPr>
      <w:r w:rsidRPr="00DD150C">
        <w:rPr>
          <w:rFonts w:cs="Times New Roman"/>
        </w:rPr>
        <w:t>Core t</w:t>
      </w:r>
      <w:r w:rsidR="00855B09" w:rsidRPr="00DD150C">
        <w:rPr>
          <w:rFonts w:cs="Times New Roman"/>
        </w:rPr>
        <w:t>ran</w:t>
      </w:r>
      <w:r w:rsidRPr="00DD150C">
        <w:rPr>
          <w:rFonts w:cs="Times New Roman"/>
        </w:rPr>
        <w:t>sition r</w:t>
      </w:r>
      <w:r w:rsidR="00855B09" w:rsidRPr="00DD150C">
        <w:rPr>
          <w:rFonts w:cs="Times New Roman"/>
        </w:rPr>
        <w:t xml:space="preserve">ecords </w:t>
      </w:r>
      <w:r w:rsidRPr="00DD150C">
        <w:rPr>
          <w:rFonts w:cs="Times New Roman"/>
        </w:rPr>
        <w:t>s</w:t>
      </w:r>
      <w:r w:rsidR="00855B09" w:rsidRPr="00DD150C">
        <w:rPr>
          <w:rFonts w:cs="Times New Roman"/>
        </w:rPr>
        <w:t>hould</w:t>
      </w:r>
      <w:r w:rsidRPr="00DD150C">
        <w:rPr>
          <w:rFonts w:cs="Times New Roman"/>
        </w:rPr>
        <w:t xml:space="preserve"> include detailed information about mood st</w:t>
      </w:r>
      <w:r w:rsidR="00855B09" w:rsidRPr="00DD150C">
        <w:rPr>
          <w:rFonts w:cs="Times New Roman"/>
        </w:rPr>
        <w:t xml:space="preserve">atus </w:t>
      </w:r>
    </w:p>
    <w:p w14:paraId="171547B2" w14:textId="57880BD4" w:rsidR="00DD150C" w:rsidRDefault="00DD150C" w:rsidP="00855B09">
      <w:pPr>
        <w:pStyle w:val="ListParagraph"/>
        <w:numPr>
          <w:ilvl w:val="0"/>
          <w:numId w:val="19"/>
        </w:numPr>
        <w:spacing w:line="480" w:lineRule="auto"/>
        <w:rPr>
          <w:rFonts w:cs="Times New Roman"/>
        </w:rPr>
      </w:pPr>
      <w:r w:rsidRPr="00DD150C">
        <w:rPr>
          <w:rFonts w:cs="Times New Roman"/>
        </w:rPr>
        <w:t>Formalize a s</w:t>
      </w:r>
      <w:r w:rsidR="00855B09" w:rsidRPr="00DD150C">
        <w:rPr>
          <w:rFonts w:cs="Times New Roman"/>
        </w:rPr>
        <w:t>ystem to</w:t>
      </w:r>
      <w:r w:rsidRPr="00DD150C">
        <w:rPr>
          <w:rFonts w:cs="Times New Roman"/>
        </w:rPr>
        <w:t xml:space="preserve"> educate residents and their caregivers about c</w:t>
      </w:r>
      <w:r w:rsidR="00855B09" w:rsidRPr="00DD150C">
        <w:rPr>
          <w:rFonts w:cs="Times New Roman"/>
        </w:rPr>
        <w:t xml:space="preserve">ognitive and </w:t>
      </w:r>
      <w:r w:rsidRPr="00DD150C">
        <w:rPr>
          <w:rFonts w:cs="Times New Roman"/>
        </w:rPr>
        <w:t>mood s</w:t>
      </w:r>
      <w:r w:rsidR="00855B09" w:rsidRPr="00DD150C">
        <w:rPr>
          <w:rFonts w:cs="Times New Roman"/>
        </w:rPr>
        <w:t xml:space="preserve">tatus </w:t>
      </w:r>
    </w:p>
    <w:p w14:paraId="0DAAF12E" w14:textId="77777777" w:rsidR="00DD150C" w:rsidRDefault="00DD150C" w:rsidP="00855B09">
      <w:pPr>
        <w:pStyle w:val="ListParagraph"/>
        <w:numPr>
          <w:ilvl w:val="0"/>
          <w:numId w:val="19"/>
        </w:numPr>
        <w:spacing w:line="480" w:lineRule="auto"/>
        <w:rPr>
          <w:rFonts w:cs="Times New Roman"/>
        </w:rPr>
      </w:pPr>
      <w:r w:rsidRPr="00DD150C">
        <w:rPr>
          <w:rFonts w:cs="Times New Roman"/>
        </w:rPr>
        <w:t>Discharge planning should include a formal cognitive i</w:t>
      </w:r>
      <w:r w:rsidR="00855B09" w:rsidRPr="00DD150C">
        <w:rPr>
          <w:rFonts w:cs="Times New Roman"/>
        </w:rPr>
        <w:t>nstrument t</w:t>
      </w:r>
      <w:r w:rsidRPr="00DD150C">
        <w:rPr>
          <w:rFonts w:cs="Times New Roman"/>
        </w:rPr>
        <w:t>o assess current functioning and incorporate the data into the p</w:t>
      </w:r>
      <w:r w:rsidR="00855B09" w:rsidRPr="00DD150C">
        <w:rPr>
          <w:rFonts w:cs="Times New Roman"/>
        </w:rPr>
        <w:t>lan</w:t>
      </w:r>
    </w:p>
    <w:p w14:paraId="5BF2CD25" w14:textId="025FA516" w:rsidR="00BF6FE7" w:rsidRDefault="00BF6FE7" w:rsidP="00BF6FE7">
      <w:pPr>
        <w:pStyle w:val="ListParagraph"/>
        <w:numPr>
          <w:ilvl w:val="0"/>
          <w:numId w:val="19"/>
        </w:numPr>
        <w:spacing w:line="480" w:lineRule="auto"/>
        <w:rPr>
          <w:rFonts w:cs="Times New Roman"/>
        </w:rPr>
      </w:pPr>
      <w:r w:rsidRPr="00BF6FE7">
        <w:rPr>
          <w:rFonts w:cs="Times New Roman"/>
        </w:rPr>
        <w:t>Encourage spousal caregivers to participate in a cognitive self-assessment or formal cognitive assessment as part of the resident’s discharge plan</w:t>
      </w:r>
    </w:p>
    <w:p w14:paraId="69047128" w14:textId="4413BC99" w:rsidR="00F84ED2" w:rsidRPr="00F84ED2" w:rsidRDefault="00F84ED2" w:rsidP="00F84ED2">
      <w:pPr>
        <w:pStyle w:val="ListParagraph"/>
        <w:numPr>
          <w:ilvl w:val="0"/>
          <w:numId w:val="19"/>
        </w:numPr>
        <w:spacing w:line="480" w:lineRule="auto"/>
        <w:rPr>
          <w:rFonts w:cs="Times New Roman"/>
        </w:rPr>
      </w:pPr>
      <w:r w:rsidRPr="00F84ED2">
        <w:rPr>
          <w:rFonts w:cs="Times New Roman"/>
        </w:rPr>
        <w:t xml:space="preserve">Improve training of nursing home staff by requiring continuing education that emphasizes meaningful engagement and behavioral management skills for residents with cognitive impairments </w:t>
      </w:r>
    </w:p>
    <w:p w14:paraId="00055E6F" w14:textId="77777777" w:rsidR="00F84ED2" w:rsidRPr="00F84ED2" w:rsidRDefault="00F84ED2" w:rsidP="00F84ED2">
      <w:pPr>
        <w:spacing w:line="480" w:lineRule="auto"/>
        <w:ind w:left="360"/>
        <w:rPr>
          <w:rFonts w:cs="Times New Roman"/>
        </w:rPr>
      </w:pPr>
    </w:p>
    <w:p w14:paraId="39E58FED" w14:textId="77777777" w:rsidR="003C3191" w:rsidRPr="000E7469" w:rsidRDefault="003C3191" w:rsidP="000E7469">
      <w:pPr>
        <w:spacing w:line="480" w:lineRule="auto"/>
        <w:rPr>
          <w:rFonts w:cs="Times New Roman"/>
        </w:rPr>
      </w:pPr>
    </w:p>
    <w:sectPr w:rsidR="003C3191" w:rsidRPr="000E7469" w:rsidSect="00E51C6D">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10DCE" w14:textId="77777777" w:rsidR="00952057" w:rsidRDefault="00952057" w:rsidP="00590E98">
      <w:r>
        <w:separator/>
      </w:r>
    </w:p>
  </w:endnote>
  <w:endnote w:type="continuationSeparator" w:id="0">
    <w:p w14:paraId="455CFF9B" w14:textId="77777777" w:rsidR="00952057" w:rsidRDefault="00952057" w:rsidP="005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9F40" w14:textId="77777777" w:rsidR="001E69F8" w:rsidRDefault="001E69F8" w:rsidP="00590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E1B42" w14:textId="77777777" w:rsidR="001E69F8" w:rsidRDefault="001E69F8" w:rsidP="00590E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80785"/>
      <w:docPartObj>
        <w:docPartGallery w:val="Page Numbers (Bottom of Page)"/>
        <w:docPartUnique/>
      </w:docPartObj>
    </w:sdtPr>
    <w:sdtEndPr>
      <w:rPr>
        <w:noProof/>
      </w:rPr>
    </w:sdtEndPr>
    <w:sdtContent>
      <w:p w14:paraId="5868DAEA" w14:textId="0C86CBA4" w:rsidR="001E69F8" w:rsidRDefault="001E69F8">
        <w:pPr>
          <w:pStyle w:val="Footer"/>
          <w:jc w:val="right"/>
        </w:pPr>
        <w:r>
          <w:fldChar w:fldCharType="begin"/>
        </w:r>
        <w:r>
          <w:instrText xml:space="preserve"> PAGE   \* MERGEFORMAT </w:instrText>
        </w:r>
        <w:r>
          <w:fldChar w:fldCharType="separate"/>
        </w:r>
        <w:r w:rsidR="00AF1A17">
          <w:rPr>
            <w:noProof/>
          </w:rPr>
          <w:t>14</w:t>
        </w:r>
        <w:r>
          <w:rPr>
            <w:noProof/>
          </w:rPr>
          <w:fldChar w:fldCharType="end"/>
        </w:r>
      </w:p>
    </w:sdtContent>
  </w:sdt>
  <w:p w14:paraId="139D0AF3" w14:textId="77777777" w:rsidR="001E69F8" w:rsidRDefault="001E69F8" w:rsidP="00590E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8227D" w14:textId="77777777" w:rsidR="00952057" w:rsidRDefault="00952057" w:rsidP="00590E98">
      <w:r>
        <w:separator/>
      </w:r>
    </w:p>
  </w:footnote>
  <w:footnote w:type="continuationSeparator" w:id="0">
    <w:p w14:paraId="08E631C9" w14:textId="77777777" w:rsidR="00952057" w:rsidRDefault="00952057" w:rsidP="00590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025F" w14:textId="77777777" w:rsidR="001E69F8" w:rsidRDefault="001E69F8" w:rsidP="007B54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44468" w14:textId="77777777" w:rsidR="001E69F8" w:rsidRDefault="001E69F8" w:rsidP="00853F5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CC25D" w14:textId="416D1ACD" w:rsidR="001E69F8" w:rsidRPr="00757177" w:rsidRDefault="00D33C64">
    <w:pPr>
      <w:pStyle w:val="Header"/>
    </w:pPr>
    <w:r w:rsidRPr="00757177">
      <w:t>Care Transition Barriers: Cognit</w:t>
    </w:r>
    <w:r w:rsidR="00757177" w:rsidRPr="00757177">
      <w:t>ion &amp; Mood</w:t>
    </w:r>
    <w:r w:rsidRPr="00757177">
      <w:t xml:space="preserve"> </w:t>
    </w:r>
  </w:p>
  <w:p w14:paraId="5B62033B" w14:textId="180E407D" w:rsidR="001E69F8" w:rsidRDefault="001E69F8" w:rsidP="00853F5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C86"/>
    <w:multiLevelType w:val="hybridMultilevel"/>
    <w:tmpl w:val="E2A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746BB"/>
    <w:multiLevelType w:val="hybridMultilevel"/>
    <w:tmpl w:val="526455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92C0B51"/>
    <w:multiLevelType w:val="hybridMultilevel"/>
    <w:tmpl w:val="A0F21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D72180"/>
    <w:multiLevelType w:val="hybridMultilevel"/>
    <w:tmpl w:val="A7A4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22EA5"/>
    <w:multiLevelType w:val="hybridMultilevel"/>
    <w:tmpl w:val="397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06931"/>
    <w:multiLevelType w:val="hybridMultilevel"/>
    <w:tmpl w:val="975A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1E0333"/>
    <w:multiLevelType w:val="hybridMultilevel"/>
    <w:tmpl w:val="CA32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445DE"/>
    <w:multiLevelType w:val="hybridMultilevel"/>
    <w:tmpl w:val="31BE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B0B42"/>
    <w:multiLevelType w:val="hybridMultilevel"/>
    <w:tmpl w:val="29C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E68A9"/>
    <w:multiLevelType w:val="hybridMultilevel"/>
    <w:tmpl w:val="B32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F1BBF"/>
    <w:multiLevelType w:val="hybridMultilevel"/>
    <w:tmpl w:val="D3C8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44F51"/>
    <w:multiLevelType w:val="hybridMultilevel"/>
    <w:tmpl w:val="F22633C6"/>
    <w:lvl w:ilvl="0" w:tplc="9F701F6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820FF"/>
    <w:multiLevelType w:val="hybridMultilevel"/>
    <w:tmpl w:val="324AA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1268B9"/>
    <w:multiLevelType w:val="hybridMultilevel"/>
    <w:tmpl w:val="2D34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645B"/>
    <w:multiLevelType w:val="hybridMultilevel"/>
    <w:tmpl w:val="8B5C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753C99"/>
    <w:multiLevelType w:val="hybridMultilevel"/>
    <w:tmpl w:val="EC1A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639B2"/>
    <w:multiLevelType w:val="hybridMultilevel"/>
    <w:tmpl w:val="5F4C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D3A16"/>
    <w:multiLevelType w:val="hybridMultilevel"/>
    <w:tmpl w:val="250E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00EB3"/>
    <w:multiLevelType w:val="hybridMultilevel"/>
    <w:tmpl w:val="214A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D262C"/>
    <w:multiLevelType w:val="hybridMultilevel"/>
    <w:tmpl w:val="81E6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7"/>
  </w:num>
  <w:num w:numId="5">
    <w:abstractNumId w:val="2"/>
  </w:num>
  <w:num w:numId="6">
    <w:abstractNumId w:val="11"/>
  </w:num>
  <w:num w:numId="7">
    <w:abstractNumId w:val="6"/>
  </w:num>
  <w:num w:numId="8">
    <w:abstractNumId w:val="1"/>
  </w:num>
  <w:num w:numId="9">
    <w:abstractNumId w:val="12"/>
  </w:num>
  <w:num w:numId="10">
    <w:abstractNumId w:val="18"/>
  </w:num>
  <w:num w:numId="11">
    <w:abstractNumId w:val="8"/>
  </w:num>
  <w:num w:numId="12">
    <w:abstractNumId w:val="3"/>
  </w:num>
  <w:num w:numId="13">
    <w:abstractNumId w:val="15"/>
  </w:num>
  <w:num w:numId="14">
    <w:abstractNumId w:val="4"/>
  </w:num>
  <w:num w:numId="15">
    <w:abstractNumId w:val="16"/>
  </w:num>
  <w:num w:numId="16">
    <w:abstractNumId w:val="19"/>
  </w:num>
  <w:num w:numId="17">
    <w:abstractNumId w:val="9"/>
  </w:num>
  <w:num w:numId="18">
    <w:abstractNumId w:val="0"/>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A5"/>
    <w:rsid w:val="000002A5"/>
    <w:rsid w:val="00000D0B"/>
    <w:rsid w:val="00001122"/>
    <w:rsid w:val="00001701"/>
    <w:rsid w:val="00002C7F"/>
    <w:rsid w:val="00004C4F"/>
    <w:rsid w:val="00005256"/>
    <w:rsid w:val="00014058"/>
    <w:rsid w:val="000162B5"/>
    <w:rsid w:val="00017222"/>
    <w:rsid w:val="00020619"/>
    <w:rsid w:val="00022D33"/>
    <w:rsid w:val="000238B7"/>
    <w:rsid w:val="00031C79"/>
    <w:rsid w:val="00036173"/>
    <w:rsid w:val="000375A7"/>
    <w:rsid w:val="00043862"/>
    <w:rsid w:val="0004394D"/>
    <w:rsid w:val="00046977"/>
    <w:rsid w:val="00062790"/>
    <w:rsid w:val="00072295"/>
    <w:rsid w:val="00076A51"/>
    <w:rsid w:val="0008344C"/>
    <w:rsid w:val="0009205C"/>
    <w:rsid w:val="000A1556"/>
    <w:rsid w:val="000B2280"/>
    <w:rsid w:val="000B475E"/>
    <w:rsid w:val="000B7160"/>
    <w:rsid w:val="000C2DB5"/>
    <w:rsid w:val="000C5FB1"/>
    <w:rsid w:val="000D04B0"/>
    <w:rsid w:val="000D1949"/>
    <w:rsid w:val="000D275A"/>
    <w:rsid w:val="000D3187"/>
    <w:rsid w:val="000D37C7"/>
    <w:rsid w:val="000D6CDF"/>
    <w:rsid w:val="000D73D5"/>
    <w:rsid w:val="000D76D6"/>
    <w:rsid w:val="000E0BF3"/>
    <w:rsid w:val="000E652E"/>
    <w:rsid w:val="000E7469"/>
    <w:rsid w:val="000E78EE"/>
    <w:rsid w:val="000F35B9"/>
    <w:rsid w:val="0011646B"/>
    <w:rsid w:val="0012275D"/>
    <w:rsid w:val="00126E6E"/>
    <w:rsid w:val="00131B31"/>
    <w:rsid w:val="00132CD4"/>
    <w:rsid w:val="00133705"/>
    <w:rsid w:val="0014025E"/>
    <w:rsid w:val="0014651B"/>
    <w:rsid w:val="00153AF9"/>
    <w:rsid w:val="00154602"/>
    <w:rsid w:val="0015564B"/>
    <w:rsid w:val="00156E09"/>
    <w:rsid w:val="001570E0"/>
    <w:rsid w:val="001578D3"/>
    <w:rsid w:val="00161C91"/>
    <w:rsid w:val="001675BD"/>
    <w:rsid w:val="00180211"/>
    <w:rsid w:val="001930B2"/>
    <w:rsid w:val="001945EB"/>
    <w:rsid w:val="001950D6"/>
    <w:rsid w:val="00195F8C"/>
    <w:rsid w:val="00196F87"/>
    <w:rsid w:val="001A011E"/>
    <w:rsid w:val="001A0F6B"/>
    <w:rsid w:val="001B19D5"/>
    <w:rsid w:val="001B49EA"/>
    <w:rsid w:val="001C100E"/>
    <w:rsid w:val="001D4B86"/>
    <w:rsid w:val="001D5184"/>
    <w:rsid w:val="001D6DF9"/>
    <w:rsid w:val="001E1E50"/>
    <w:rsid w:val="001E25C4"/>
    <w:rsid w:val="001E4C9D"/>
    <w:rsid w:val="001E69F8"/>
    <w:rsid w:val="001F32AB"/>
    <w:rsid w:val="001F5D3D"/>
    <w:rsid w:val="001F7141"/>
    <w:rsid w:val="0020098E"/>
    <w:rsid w:val="0020786B"/>
    <w:rsid w:val="00213D68"/>
    <w:rsid w:val="00224887"/>
    <w:rsid w:val="0022515D"/>
    <w:rsid w:val="002338E3"/>
    <w:rsid w:val="002363FE"/>
    <w:rsid w:val="0024185B"/>
    <w:rsid w:val="002432D2"/>
    <w:rsid w:val="00262F75"/>
    <w:rsid w:val="00267797"/>
    <w:rsid w:val="0027015F"/>
    <w:rsid w:val="0027505F"/>
    <w:rsid w:val="00280336"/>
    <w:rsid w:val="002807CB"/>
    <w:rsid w:val="00284124"/>
    <w:rsid w:val="00285C45"/>
    <w:rsid w:val="0028702C"/>
    <w:rsid w:val="00293728"/>
    <w:rsid w:val="00293C05"/>
    <w:rsid w:val="0029581A"/>
    <w:rsid w:val="00295A82"/>
    <w:rsid w:val="002A09A1"/>
    <w:rsid w:val="002A7548"/>
    <w:rsid w:val="002B12D9"/>
    <w:rsid w:val="002C195F"/>
    <w:rsid w:val="002C7170"/>
    <w:rsid w:val="002E0458"/>
    <w:rsid w:val="002E0A86"/>
    <w:rsid w:val="002E1CD7"/>
    <w:rsid w:val="002E5DF2"/>
    <w:rsid w:val="002E68E6"/>
    <w:rsid w:val="002F1503"/>
    <w:rsid w:val="002F373F"/>
    <w:rsid w:val="002F4E05"/>
    <w:rsid w:val="002F64A3"/>
    <w:rsid w:val="00300D7D"/>
    <w:rsid w:val="0030185A"/>
    <w:rsid w:val="00311BFD"/>
    <w:rsid w:val="00321DEF"/>
    <w:rsid w:val="00324217"/>
    <w:rsid w:val="003250D8"/>
    <w:rsid w:val="0033112E"/>
    <w:rsid w:val="003311A2"/>
    <w:rsid w:val="00333960"/>
    <w:rsid w:val="00343B93"/>
    <w:rsid w:val="00344EC5"/>
    <w:rsid w:val="00345E89"/>
    <w:rsid w:val="00351B8D"/>
    <w:rsid w:val="0035565C"/>
    <w:rsid w:val="00361BF4"/>
    <w:rsid w:val="003624BB"/>
    <w:rsid w:val="003656CC"/>
    <w:rsid w:val="003711A7"/>
    <w:rsid w:val="00372214"/>
    <w:rsid w:val="0037545E"/>
    <w:rsid w:val="00380738"/>
    <w:rsid w:val="00385B8A"/>
    <w:rsid w:val="003873D8"/>
    <w:rsid w:val="003875E0"/>
    <w:rsid w:val="003879A6"/>
    <w:rsid w:val="0039063D"/>
    <w:rsid w:val="00392552"/>
    <w:rsid w:val="00397CC1"/>
    <w:rsid w:val="003B24D5"/>
    <w:rsid w:val="003B7D4B"/>
    <w:rsid w:val="003C04BD"/>
    <w:rsid w:val="003C3191"/>
    <w:rsid w:val="003C62B7"/>
    <w:rsid w:val="003C7217"/>
    <w:rsid w:val="003D083E"/>
    <w:rsid w:val="003E1E9D"/>
    <w:rsid w:val="003E3B7F"/>
    <w:rsid w:val="003E4949"/>
    <w:rsid w:val="003E5219"/>
    <w:rsid w:val="003E6DBA"/>
    <w:rsid w:val="003E7693"/>
    <w:rsid w:val="003F3B28"/>
    <w:rsid w:val="00401531"/>
    <w:rsid w:val="0040615F"/>
    <w:rsid w:val="00406B7B"/>
    <w:rsid w:val="0042314D"/>
    <w:rsid w:val="004244E8"/>
    <w:rsid w:val="004278CC"/>
    <w:rsid w:val="004342C7"/>
    <w:rsid w:val="0043478C"/>
    <w:rsid w:val="004428C2"/>
    <w:rsid w:val="004444D0"/>
    <w:rsid w:val="00444A8A"/>
    <w:rsid w:val="00445ADF"/>
    <w:rsid w:val="00446129"/>
    <w:rsid w:val="00446412"/>
    <w:rsid w:val="0045254C"/>
    <w:rsid w:val="004551D9"/>
    <w:rsid w:val="00455ADA"/>
    <w:rsid w:val="00456395"/>
    <w:rsid w:val="00464E48"/>
    <w:rsid w:val="00471B0C"/>
    <w:rsid w:val="004724D1"/>
    <w:rsid w:val="00475BC3"/>
    <w:rsid w:val="004760CA"/>
    <w:rsid w:val="00477D4B"/>
    <w:rsid w:val="004808FF"/>
    <w:rsid w:val="00485A0D"/>
    <w:rsid w:val="004877F2"/>
    <w:rsid w:val="00487AF5"/>
    <w:rsid w:val="00491AD0"/>
    <w:rsid w:val="00497003"/>
    <w:rsid w:val="004A500F"/>
    <w:rsid w:val="004A6352"/>
    <w:rsid w:val="004B08D3"/>
    <w:rsid w:val="004B33AF"/>
    <w:rsid w:val="004B3C60"/>
    <w:rsid w:val="004B472A"/>
    <w:rsid w:val="004B7A20"/>
    <w:rsid w:val="004C6038"/>
    <w:rsid w:val="004D03F8"/>
    <w:rsid w:val="004D2397"/>
    <w:rsid w:val="004E1B73"/>
    <w:rsid w:val="004E2527"/>
    <w:rsid w:val="004E2B96"/>
    <w:rsid w:val="004E3FD4"/>
    <w:rsid w:val="004E5A30"/>
    <w:rsid w:val="004E6EEE"/>
    <w:rsid w:val="004E7C51"/>
    <w:rsid w:val="004F39A7"/>
    <w:rsid w:val="004F6559"/>
    <w:rsid w:val="005002DF"/>
    <w:rsid w:val="005016B0"/>
    <w:rsid w:val="005029AF"/>
    <w:rsid w:val="00507863"/>
    <w:rsid w:val="00511B10"/>
    <w:rsid w:val="005163C8"/>
    <w:rsid w:val="005165BF"/>
    <w:rsid w:val="00522B0E"/>
    <w:rsid w:val="00523103"/>
    <w:rsid w:val="0052386B"/>
    <w:rsid w:val="00532FD0"/>
    <w:rsid w:val="00535DF8"/>
    <w:rsid w:val="00541B26"/>
    <w:rsid w:val="00545749"/>
    <w:rsid w:val="005514F8"/>
    <w:rsid w:val="00551C73"/>
    <w:rsid w:val="00552311"/>
    <w:rsid w:val="00556B50"/>
    <w:rsid w:val="00557381"/>
    <w:rsid w:val="005707A4"/>
    <w:rsid w:val="00574734"/>
    <w:rsid w:val="00575E0C"/>
    <w:rsid w:val="00576ABC"/>
    <w:rsid w:val="005854DB"/>
    <w:rsid w:val="00590E98"/>
    <w:rsid w:val="00591DB5"/>
    <w:rsid w:val="00593D3A"/>
    <w:rsid w:val="005A1502"/>
    <w:rsid w:val="005A25B5"/>
    <w:rsid w:val="005A3009"/>
    <w:rsid w:val="005A59B5"/>
    <w:rsid w:val="005A7F52"/>
    <w:rsid w:val="005B08CD"/>
    <w:rsid w:val="005B1467"/>
    <w:rsid w:val="005B2D43"/>
    <w:rsid w:val="005C07D7"/>
    <w:rsid w:val="005C0952"/>
    <w:rsid w:val="005C3B7C"/>
    <w:rsid w:val="005C3E33"/>
    <w:rsid w:val="005C59F7"/>
    <w:rsid w:val="005C5CF4"/>
    <w:rsid w:val="005C726D"/>
    <w:rsid w:val="005D38E0"/>
    <w:rsid w:val="005D4A51"/>
    <w:rsid w:val="005D6C35"/>
    <w:rsid w:val="005D793E"/>
    <w:rsid w:val="005E0881"/>
    <w:rsid w:val="005E2A38"/>
    <w:rsid w:val="005F009B"/>
    <w:rsid w:val="005F1385"/>
    <w:rsid w:val="005F483B"/>
    <w:rsid w:val="0060077D"/>
    <w:rsid w:val="00600B80"/>
    <w:rsid w:val="00601153"/>
    <w:rsid w:val="00602719"/>
    <w:rsid w:val="00602D00"/>
    <w:rsid w:val="0060696A"/>
    <w:rsid w:val="00611EB8"/>
    <w:rsid w:val="00612A5B"/>
    <w:rsid w:val="00612A75"/>
    <w:rsid w:val="006153A9"/>
    <w:rsid w:val="00615929"/>
    <w:rsid w:val="00616DCD"/>
    <w:rsid w:val="00620205"/>
    <w:rsid w:val="0062692A"/>
    <w:rsid w:val="00631240"/>
    <w:rsid w:val="00635B66"/>
    <w:rsid w:val="006411BB"/>
    <w:rsid w:val="0064265A"/>
    <w:rsid w:val="006453A7"/>
    <w:rsid w:val="0064560E"/>
    <w:rsid w:val="00647CAA"/>
    <w:rsid w:val="00651CB8"/>
    <w:rsid w:val="00664B7A"/>
    <w:rsid w:val="00666591"/>
    <w:rsid w:val="006710A1"/>
    <w:rsid w:val="006768A1"/>
    <w:rsid w:val="00681B88"/>
    <w:rsid w:val="006901D2"/>
    <w:rsid w:val="00690AD5"/>
    <w:rsid w:val="006910B3"/>
    <w:rsid w:val="006A6B15"/>
    <w:rsid w:val="006B1859"/>
    <w:rsid w:val="006B1C24"/>
    <w:rsid w:val="006B1DB2"/>
    <w:rsid w:val="006B5FE8"/>
    <w:rsid w:val="006C0895"/>
    <w:rsid w:val="006C306F"/>
    <w:rsid w:val="006C3431"/>
    <w:rsid w:val="006C4499"/>
    <w:rsid w:val="006E0462"/>
    <w:rsid w:val="006E1B21"/>
    <w:rsid w:val="006E2005"/>
    <w:rsid w:val="006E305B"/>
    <w:rsid w:val="006E7BB9"/>
    <w:rsid w:val="006E7F78"/>
    <w:rsid w:val="006F2E4F"/>
    <w:rsid w:val="006F4569"/>
    <w:rsid w:val="006F5AA9"/>
    <w:rsid w:val="00700AA8"/>
    <w:rsid w:val="00703794"/>
    <w:rsid w:val="00720E3A"/>
    <w:rsid w:val="0072361F"/>
    <w:rsid w:val="00723EB5"/>
    <w:rsid w:val="00734AD1"/>
    <w:rsid w:val="007358ED"/>
    <w:rsid w:val="00735D24"/>
    <w:rsid w:val="00737A7C"/>
    <w:rsid w:val="0074078C"/>
    <w:rsid w:val="00740A7A"/>
    <w:rsid w:val="00740C56"/>
    <w:rsid w:val="007414D0"/>
    <w:rsid w:val="00753320"/>
    <w:rsid w:val="00757177"/>
    <w:rsid w:val="00774F7A"/>
    <w:rsid w:val="00776B64"/>
    <w:rsid w:val="00776F74"/>
    <w:rsid w:val="007817BD"/>
    <w:rsid w:val="00784C68"/>
    <w:rsid w:val="0078665E"/>
    <w:rsid w:val="0078671F"/>
    <w:rsid w:val="00787A09"/>
    <w:rsid w:val="00787E2E"/>
    <w:rsid w:val="0079014C"/>
    <w:rsid w:val="00797021"/>
    <w:rsid w:val="007A6CDA"/>
    <w:rsid w:val="007B15E0"/>
    <w:rsid w:val="007B1EEC"/>
    <w:rsid w:val="007B434C"/>
    <w:rsid w:val="007B5452"/>
    <w:rsid w:val="007C0205"/>
    <w:rsid w:val="007C1DF3"/>
    <w:rsid w:val="007C23C0"/>
    <w:rsid w:val="007C5993"/>
    <w:rsid w:val="007C73F7"/>
    <w:rsid w:val="007D1B47"/>
    <w:rsid w:val="007D59B8"/>
    <w:rsid w:val="007D7778"/>
    <w:rsid w:val="007D7ABF"/>
    <w:rsid w:val="007E1789"/>
    <w:rsid w:val="007E3741"/>
    <w:rsid w:val="007E4152"/>
    <w:rsid w:val="007E5F0B"/>
    <w:rsid w:val="007F0216"/>
    <w:rsid w:val="007F2F70"/>
    <w:rsid w:val="007F68DF"/>
    <w:rsid w:val="00800C5E"/>
    <w:rsid w:val="0080773C"/>
    <w:rsid w:val="0081032C"/>
    <w:rsid w:val="0081426A"/>
    <w:rsid w:val="008173D9"/>
    <w:rsid w:val="00820459"/>
    <w:rsid w:val="00820BAE"/>
    <w:rsid w:val="00826008"/>
    <w:rsid w:val="008278A7"/>
    <w:rsid w:val="00831928"/>
    <w:rsid w:val="008336D0"/>
    <w:rsid w:val="008368FD"/>
    <w:rsid w:val="00840E26"/>
    <w:rsid w:val="00841247"/>
    <w:rsid w:val="00851479"/>
    <w:rsid w:val="00852B5F"/>
    <w:rsid w:val="008539CA"/>
    <w:rsid w:val="00853F53"/>
    <w:rsid w:val="00855119"/>
    <w:rsid w:val="00855B09"/>
    <w:rsid w:val="008570BB"/>
    <w:rsid w:val="00860C61"/>
    <w:rsid w:val="00862430"/>
    <w:rsid w:val="00862480"/>
    <w:rsid w:val="0086277D"/>
    <w:rsid w:val="008633F6"/>
    <w:rsid w:val="00871FAE"/>
    <w:rsid w:val="00873D8A"/>
    <w:rsid w:val="008745E6"/>
    <w:rsid w:val="00875641"/>
    <w:rsid w:val="00876C93"/>
    <w:rsid w:val="00891324"/>
    <w:rsid w:val="00893E36"/>
    <w:rsid w:val="008946BA"/>
    <w:rsid w:val="008A1210"/>
    <w:rsid w:val="008A5003"/>
    <w:rsid w:val="008B167B"/>
    <w:rsid w:val="008B3150"/>
    <w:rsid w:val="008B38CD"/>
    <w:rsid w:val="008C14B6"/>
    <w:rsid w:val="008C29B9"/>
    <w:rsid w:val="008C73FE"/>
    <w:rsid w:val="008D3A42"/>
    <w:rsid w:val="008D5321"/>
    <w:rsid w:val="008E28C5"/>
    <w:rsid w:val="008E505C"/>
    <w:rsid w:val="008F03BC"/>
    <w:rsid w:val="008F1F8F"/>
    <w:rsid w:val="008F3C49"/>
    <w:rsid w:val="008F3E21"/>
    <w:rsid w:val="008F49DF"/>
    <w:rsid w:val="008F6C66"/>
    <w:rsid w:val="0090434D"/>
    <w:rsid w:val="009113BD"/>
    <w:rsid w:val="0091747F"/>
    <w:rsid w:val="00921FCE"/>
    <w:rsid w:val="0092516D"/>
    <w:rsid w:val="00931079"/>
    <w:rsid w:val="00931F72"/>
    <w:rsid w:val="0093201F"/>
    <w:rsid w:val="00934721"/>
    <w:rsid w:val="009351A2"/>
    <w:rsid w:val="009406FD"/>
    <w:rsid w:val="00951464"/>
    <w:rsid w:val="00952057"/>
    <w:rsid w:val="009551B7"/>
    <w:rsid w:val="00957C26"/>
    <w:rsid w:val="0096064A"/>
    <w:rsid w:val="0096158C"/>
    <w:rsid w:val="00962C12"/>
    <w:rsid w:val="00965152"/>
    <w:rsid w:val="00970DCD"/>
    <w:rsid w:val="00972048"/>
    <w:rsid w:val="009775FA"/>
    <w:rsid w:val="009804F3"/>
    <w:rsid w:val="00981437"/>
    <w:rsid w:val="009824B2"/>
    <w:rsid w:val="0099143E"/>
    <w:rsid w:val="009933D8"/>
    <w:rsid w:val="009A052F"/>
    <w:rsid w:val="009A1A7B"/>
    <w:rsid w:val="009A53A4"/>
    <w:rsid w:val="009B0DDF"/>
    <w:rsid w:val="009C15F1"/>
    <w:rsid w:val="009C2D7A"/>
    <w:rsid w:val="009C31B5"/>
    <w:rsid w:val="009E326B"/>
    <w:rsid w:val="009E38A5"/>
    <w:rsid w:val="009E5FFA"/>
    <w:rsid w:val="009E6B8A"/>
    <w:rsid w:val="009E6D63"/>
    <w:rsid w:val="009F31C6"/>
    <w:rsid w:val="009F6A2B"/>
    <w:rsid w:val="009F7214"/>
    <w:rsid w:val="00A00160"/>
    <w:rsid w:val="00A00A09"/>
    <w:rsid w:val="00A04537"/>
    <w:rsid w:val="00A07D6D"/>
    <w:rsid w:val="00A13579"/>
    <w:rsid w:val="00A163D7"/>
    <w:rsid w:val="00A16C62"/>
    <w:rsid w:val="00A23D17"/>
    <w:rsid w:val="00A266A0"/>
    <w:rsid w:val="00A3541B"/>
    <w:rsid w:val="00A3654D"/>
    <w:rsid w:val="00A36EF3"/>
    <w:rsid w:val="00A43AB7"/>
    <w:rsid w:val="00A45F46"/>
    <w:rsid w:val="00A52913"/>
    <w:rsid w:val="00A5293C"/>
    <w:rsid w:val="00A551EC"/>
    <w:rsid w:val="00A62064"/>
    <w:rsid w:val="00A74DEC"/>
    <w:rsid w:val="00A8092F"/>
    <w:rsid w:val="00A91912"/>
    <w:rsid w:val="00A92C5F"/>
    <w:rsid w:val="00A976D2"/>
    <w:rsid w:val="00AA31F3"/>
    <w:rsid w:val="00AA34BF"/>
    <w:rsid w:val="00AA3BAD"/>
    <w:rsid w:val="00AA5B99"/>
    <w:rsid w:val="00AC057A"/>
    <w:rsid w:val="00AC3D8F"/>
    <w:rsid w:val="00AD39F9"/>
    <w:rsid w:val="00AD4BDE"/>
    <w:rsid w:val="00AD4C4E"/>
    <w:rsid w:val="00AD6ED7"/>
    <w:rsid w:val="00AD7838"/>
    <w:rsid w:val="00AE0987"/>
    <w:rsid w:val="00AE16D0"/>
    <w:rsid w:val="00AE4585"/>
    <w:rsid w:val="00AF1A17"/>
    <w:rsid w:val="00AF7BA7"/>
    <w:rsid w:val="00B06594"/>
    <w:rsid w:val="00B06BC0"/>
    <w:rsid w:val="00B06CC9"/>
    <w:rsid w:val="00B1240D"/>
    <w:rsid w:val="00B1244E"/>
    <w:rsid w:val="00B169B8"/>
    <w:rsid w:val="00B213A2"/>
    <w:rsid w:val="00B220A4"/>
    <w:rsid w:val="00B248AA"/>
    <w:rsid w:val="00B25717"/>
    <w:rsid w:val="00B27738"/>
    <w:rsid w:val="00B27C25"/>
    <w:rsid w:val="00B33299"/>
    <w:rsid w:val="00B37FBB"/>
    <w:rsid w:val="00B408D7"/>
    <w:rsid w:val="00B417BC"/>
    <w:rsid w:val="00B44152"/>
    <w:rsid w:val="00B44531"/>
    <w:rsid w:val="00B51AB3"/>
    <w:rsid w:val="00B55247"/>
    <w:rsid w:val="00B554FA"/>
    <w:rsid w:val="00B6436D"/>
    <w:rsid w:val="00B71BD5"/>
    <w:rsid w:val="00B72977"/>
    <w:rsid w:val="00B760ED"/>
    <w:rsid w:val="00B765D1"/>
    <w:rsid w:val="00B83A93"/>
    <w:rsid w:val="00B86830"/>
    <w:rsid w:val="00B93D60"/>
    <w:rsid w:val="00B9511F"/>
    <w:rsid w:val="00B96CB1"/>
    <w:rsid w:val="00BA018E"/>
    <w:rsid w:val="00BA4219"/>
    <w:rsid w:val="00BA72AC"/>
    <w:rsid w:val="00BB5A83"/>
    <w:rsid w:val="00BB5BC5"/>
    <w:rsid w:val="00BD6895"/>
    <w:rsid w:val="00BD7568"/>
    <w:rsid w:val="00BE087E"/>
    <w:rsid w:val="00BE1062"/>
    <w:rsid w:val="00BE62E5"/>
    <w:rsid w:val="00BE6DFD"/>
    <w:rsid w:val="00BF3BC8"/>
    <w:rsid w:val="00BF6FE7"/>
    <w:rsid w:val="00BF761B"/>
    <w:rsid w:val="00C057BD"/>
    <w:rsid w:val="00C13120"/>
    <w:rsid w:val="00C13F3E"/>
    <w:rsid w:val="00C14312"/>
    <w:rsid w:val="00C27A30"/>
    <w:rsid w:val="00C27E0A"/>
    <w:rsid w:val="00C40F9D"/>
    <w:rsid w:val="00C421BB"/>
    <w:rsid w:val="00C438AD"/>
    <w:rsid w:val="00C44557"/>
    <w:rsid w:val="00C44CB4"/>
    <w:rsid w:val="00C4646A"/>
    <w:rsid w:val="00C4742C"/>
    <w:rsid w:val="00C47FE6"/>
    <w:rsid w:val="00C508E2"/>
    <w:rsid w:val="00C50D15"/>
    <w:rsid w:val="00C5119F"/>
    <w:rsid w:val="00C55A0C"/>
    <w:rsid w:val="00C56F35"/>
    <w:rsid w:val="00C5759C"/>
    <w:rsid w:val="00C57808"/>
    <w:rsid w:val="00C63DF1"/>
    <w:rsid w:val="00C64BDD"/>
    <w:rsid w:val="00C65FDD"/>
    <w:rsid w:val="00C77D1B"/>
    <w:rsid w:val="00C8002C"/>
    <w:rsid w:val="00C8672D"/>
    <w:rsid w:val="00C90B2F"/>
    <w:rsid w:val="00C935FC"/>
    <w:rsid w:val="00C94B78"/>
    <w:rsid w:val="00C94C37"/>
    <w:rsid w:val="00C97805"/>
    <w:rsid w:val="00CB7893"/>
    <w:rsid w:val="00CC67B5"/>
    <w:rsid w:val="00CE41AB"/>
    <w:rsid w:val="00CE4F57"/>
    <w:rsid w:val="00CE5E17"/>
    <w:rsid w:val="00CE5F06"/>
    <w:rsid w:val="00CF457F"/>
    <w:rsid w:val="00D0017E"/>
    <w:rsid w:val="00D0195D"/>
    <w:rsid w:val="00D026DD"/>
    <w:rsid w:val="00D051C0"/>
    <w:rsid w:val="00D052C4"/>
    <w:rsid w:val="00D13011"/>
    <w:rsid w:val="00D14149"/>
    <w:rsid w:val="00D16FCF"/>
    <w:rsid w:val="00D2176E"/>
    <w:rsid w:val="00D230B9"/>
    <w:rsid w:val="00D2399B"/>
    <w:rsid w:val="00D2497D"/>
    <w:rsid w:val="00D33C64"/>
    <w:rsid w:val="00D349C8"/>
    <w:rsid w:val="00D34EC4"/>
    <w:rsid w:val="00D44B19"/>
    <w:rsid w:val="00D477EB"/>
    <w:rsid w:val="00D4788A"/>
    <w:rsid w:val="00D55235"/>
    <w:rsid w:val="00D60C70"/>
    <w:rsid w:val="00D66CE6"/>
    <w:rsid w:val="00D673A2"/>
    <w:rsid w:val="00D70217"/>
    <w:rsid w:val="00D7421F"/>
    <w:rsid w:val="00D83B81"/>
    <w:rsid w:val="00D870DC"/>
    <w:rsid w:val="00D9039C"/>
    <w:rsid w:val="00D91449"/>
    <w:rsid w:val="00D9402E"/>
    <w:rsid w:val="00D943EB"/>
    <w:rsid w:val="00D96C84"/>
    <w:rsid w:val="00DA0AB3"/>
    <w:rsid w:val="00DA115B"/>
    <w:rsid w:val="00DA595B"/>
    <w:rsid w:val="00DA6609"/>
    <w:rsid w:val="00DB47F4"/>
    <w:rsid w:val="00DB56FE"/>
    <w:rsid w:val="00DB57D1"/>
    <w:rsid w:val="00DC02F3"/>
    <w:rsid w:val="00DC1F4C"/>
    <w:rsid w:val="00DC3834"/>
    <w:rsid w:val="00DC7FC4"/>
    <w:rsid w:val="00DD150C"/>
    <w:rsid w:val="00DD55B3"/>
    <w:rsid w:val="00DE17E3"/>
    <w:rsid w:val="00DE5889"/>
    <w:rsid w:val="00DE588E"/>
    <w:rsid w:val="00DF05CA"/>
    <w:rsid w:val="00DF3B23"/>
    <w:rsid w:val="00DF53AE"/>
    <w:rsid w:val="00DF60F5"/>
    <w:rsid w:val="00E04694"/>
    <w:rsid w:val="00E058E3"/>
    <w:rsid w:val="00E123C6"/>
    <w:rsid w:val="00E169F0"/>
    <w:rsid w:val="00E16C73"/>
    <w:rsid w:val="00E213B7"/>
    <w:rsid w:val="00E23CEA"/>
    <w:rsid w:val="00E316EE"/>
    <w:rsid w:val="00E32469"/>
    <w:rsid w:val="00E34FF9"/>
    <w:rsid w:val="00E3562E"/>
    <w:rsid w:val="00E36724"/>
    <w:rsid w:val="00E4244B"/>
    <w:rsid w:val="00E45886"/>
    <w:rsid w:val="00E4651D"/>
    <w:rsid w:val="00E51C6D"/>
    <w:rsid w:val="00E52CE0"/>
    <w:rsid w:val="00E5448D"/>
    <w:rsid w:val="00E56C62"/>
    <w:rsid w:val="00E6119A"/>
    <w:rsid w:val="00E612BA"/>
    <w:rsid w:val="00E618A6"/>
    <w:rsid w:val="00E63AF9"/>
    <w:rsid w:val="00E663D8"/>
    <w:rsid w:val="00E66B19"/>
    <w:rsid w:val="00E750B5"/>
    <w:rsid w:val="00E75DB3"/>
    <w:rsid w:val="00E7709F"/>
    <w:rsid w:val="00E816C9"/>
    <w:rsid w:val="00E81D21"/>
    <w:rsid w:val="00E82F46"/>
    <w:rsid w:val="00E938AD"/>
    <w:rsid w:val="00E95878"/>
    <w:rsid w:val="00EA1C07"/>
    <w:rsid w:val="00EB144B"/>
    <w:rsid w:val="00EB522F"/>
    <w:rsid w:val="00EC0AFE"/>
    <w:rsid w:val="00EC1CDF"/>
    <w:rsid w:val="00EC2D38"/>
    <w:rsid w:val="00EC7337"/>
    <w:rsid w:val="00EC7CC1"/>
    <w:rsid w:val="00ED07D3"/>
    <w:rsid w:val="00EE1169"/>
    <w:rsid w:val="00EE332D"/>
    <w:rsid w:val="00EE3B8C"/>
    <w:rsid w:val="00EE61BC"/>
    <w:rsid w:val="00EF00A1"/>
    <w:rsid w:val="00EF0108"/>
    <w:rsid w:val="00EF5375"/>
    <w:rsid w:val="00EF7F2C"/>
    <w:rsid w:val="00F011B7"/>
    <w:rsid w:val="00F02D51"/>
    <w:rsid w:val="00F14D26"/>
    <w:rsid w:val="00F20FA6"/>
    <w:rsid w:val="00F3665B"/>
    <w:rsid w:val="00F36699"/>
    <w:rsid w:val="00F408BA"/>
    <w:rsid w:val="00F429CD"/>
    <w:rsid w:val="00F4499F"/>
    <w:rsid w:val="00F460EB"/>
    <w:rsid w:val="00F473F0"/>
    <w:rsid w:val="00F510F3"/>
    <w:rsid w:val="00F5458C"/>
    <w:rsid w:val="00F55163"/>
    <w:rsid w:val="00F55BA1"/>
    <w:rsid w:val="00F60422"/>
    <w:rsid w:val="00F60789"/>
    <w:rsid w:val="00F61282"/>
    <w:rsid w:val="00F614C5"/>
    <w:rsid w:val="00F62E82"/>
    <w:rsid w:val="00F6415C"/>
    <w:rsid w:val="00F715C7"/>
    <w:rsid w:val="00F73D98"/>
    <w:rsid w:val="00F749E9"/>
    <w:rsid w:val="00F77299"/>
    <w:rsid w:val="00F81B79"/>
    <w:rsid w:val="00F81D76"/>
    <w:rsid w:val="00F84ED2"/>
    <w:rsid w:val="00F91C01"/>
    <w:rsid w:val="00F976AC"/>
    <w:rsid w:val="00FA0643"/>
    <w:rsid w:val="00FA09FD"/>
    <w:rsid w:val="00FA3F5B"/>
    <w:rsid w:val="00FA6FE7"/>
    <w:rsid w:val="00FA7067"/>
    <w:rsid w:val="00FB7287"/>
    <w:rsid w:val="00FD1CB8"/>
    <w:rsid w:val="00FD1FAB"/>
    <w:rsid w:val="00FD5D0B"/>
    <w:rsid w:val="00FD5EE9"/>
    <w:rsid w:val="00FE1EA8"/>
    <w:rsid w:val="00FE3CC6"/>
    <w:rsid w:val="00FE502E"/>
    <w:rsid w:val="00FF0CB8"/>
    <w:rsid w:val="00FF3D34"/>
    <w:rsid w:val="00FF47B7"/>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B2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05"/>
    <w:rPr>
      <w:rFonts w:ascii="Times New Roman" w:hAnsi="Times New Roman"/>
    </w:rPr>
  </w:style>
  <w:style w:type="paragraph" w:styleId="Heading3">
    <w:name w:val="heading 3"/>
    <w:basedOn w:val="Normal"/>
    <w:next w:val="Normal"/>
    <w:link w:val="Heading3Char"/>
    <w:unhideWhenUsed/>
    <w:qFormat/>
    <w:rsid w:val="00FF47B7"/>
    <w:pPr>
      <w:keepNext/>
      <w:spacing w:before="240" w:after="60"/>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D7"/>
    <w:pPr>
      <w:ind w:left="720"/>
      <w:contextualSpacing/>
    </w:pPr>
  </w:style>
  <w:style w:type="paragraph" w:styleId="Footer">
    <w:name w:val="footer"/>
    <w:basedOn w:val="Normal"/>
    <w:link w:val="FooterChar"/>
    <w:uiPriority w:val="99"/>
    <w:unhideWhenUsed/>
    <w:rsid w:val="00590E98"/>
    <w:pPr>
      <w:tabs>
        <w:tab w:val="center" w:pos="4320"/>
        <w:tab w:val="right" w:pos="8640"/>
      </w:tabs>
    </w:pPr>
  </w:style>
  <w:style w:type="character" w:customStyle="1" w:styleId="FooterChar">
    <w:name w:val="Footer Char"/>
    <w:basedOn w:val="DefaultParagraphFont"/>
    <w:link w:val="Footer"/>
    <w:uiPriority w:val="99"/>
    <w:rsid w:val="00590E98"/>
    <w:rPr>
      <w:rFonts w:ascii="Times New Roman" w:hAnsi="Times New Roman"/>
    </w:rPr>
  </w:style>
  <w:style w:type="character" w:styleId="PageNumber">
    <w:name w:val="page number"/>
    <w:basedOn w:val="DefaultParagraphFont"/>
    <w:uiPriority w:val="99"/>
    <w:semiHidden/>
    <w:unhideWhenUsed/>
    <w:rsid w:val="00590E98"/>
  </w:style>
  <w:style w:type="paragraph" w:styleId="BalloonText">
    <w:name w:val="Balloon Text"/>
    <w:basedOn w:val="Normal"/>
    <w:link w:val="BalloonTextChar"/>
    <w:uiPriority w:val="99"/>
    <w:semiHidden/>
    <w:unhideWhenUsed/>
    <w:rsid w:val="0060696A"/>
    <w:rPr>
      <w:rFonts w:ascii="Tahoma" w:hAnsi="Tahoma" w:cs="Tahoma"/>
      <w:sz w:val="16"/>
      <w:szCs w:val="16"/>
    </w:rPr>
  </w:style>
  <w:style w:type="character" w:customStyle="1" w:styleId="BalloonTextChar">
    <w:name w:val="Balloon Text Char"/>
    <w:basedOn w:val="DefaultParagraphFont"/>
    <w:link w:val="BalloonText"/>
    <w:uiPriority w:val="99"/>
    <w:semiHidden/>
    <w:rsid w:val="0060696A"/>
    <w:rPr>
      <w:rFonts w:ascii="Tahoma" w:hAnsi="Tahoma" w:cs="Tahoma"/>
      <w:sz w:val="16"/>
      <w:szCs w:val="16"/>
    </w:rPr>
  </w:style>
  <w:style w:type="character" w:styleId="CommentReference">
    <w:name w:val="annotation reference"/>
    <w:basedOn w:val="DefaultParagraphFont"/>
    <w:uiPriority w:val="99"/>
    <w:semiHidden/>
    <w:unhideWhenUsed/>
    <w:rsid w:val="00133705"/>
    <w:rPr>
      <w:sz w:val="18"/>
      <w:szCs w:val="18"/>
    </w:rPr>
  </w:style>
  <w:style w:type="paragraph" w:styleId="CommentText">
    <w:name w:val="annotation text"/>
    <w:basedOn w:val="Normal"/>
    <w:link w:val="CommentTextChar"/>
    <w:uiPriority w:val="99"/>
    <w:semiHidden/>
    <w:unhideWhenUsed/>
    <w:rsid w:val="00133705"/>
  </w:style>
  <w:style w:type="character" w:customStyle="1" w:styleId="CommentTextChar">
    <w:name w:val="Comment Text Char"/>
    <w:basedOn w:val="DefaultParagraphFont"/>
    <w:link w:val="CommentText"/>
    <w:uiPriority w:val="99"/>
    <w:semiHidden/>
    <w:rsid w:val="001337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3705"/>
    <w:rPr>
      <w:b/>
      <w:bCs/>
      <w:sz w:val="20"/>
      <w:szCs w:val="20"/>
    </w:rPr>
  </w:style>
  <w:style w:type="character" w:customStyle="1" w:styleId="CommentSubjectChar">
    <w:name w:val="Comment Subject Char"/>
    <w:basedOn w:val="CommentTextChar"/>
    <w:link w:val="CommentSubject"/>
    <w:uiPriority w:val="99"/>
    <w:semiHidden/>
    <w:rsid w:val="00133705"/>
    <w:rPr>
      <w:rFonts w:ascii="Times New Roman" w:hAnsi="Times New Roman"/>
      <w:b/>
      <w:bCs/>
      <w:sz w:val="20"/>
      <w:szCs w:val="20"/>
    </w:rPr>
  </w:style>
  <w:style w:type="table" w:styleId="TableGrid">
    <w:name w:val="Table Grid"/>
    <w:basedOn w:val="TableNormal"/>
    <w:uiPriority w:val="39"/>
    <w:rsid w:val="00602719"/>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F3665B"/>
    <w:rPr>
      <w:rFonts w:ascii="Helvetica Neue" w:eastAsiaTheme="minorHAnsi" w:hAnsi="Helvetica Neue" w:cs="Times New Roman"/>
      <w:color w:val="454545"/>
      <w:sz w:val="18"/>
      <w:szCs w:val="18"/>
    </w:rPr>
  </w:style>
  <w:style w:type="character" w:styleId="Strong">
    <w:name w:val="Strong"/>
    <w:basedOn w:val="DefaultParagraphFont"/>
    <w:uiPriority w:val="22"/>
    <w:qFormat/>
    <w:rsid w:val="00DF3B23"/>
    <w:rPr>
      <w:b/>
      <w:bCs/>
    </w:rPr>
  </w:style>
  <w:style w:type="paragraph" w:styleId="Header">
    <w:name w:val="header"/>
    <w:basedOn w:val="Normal"/>
    <w:link w:val="HeaderChar"/>
    <w:uiPriority w:val="99"/>
    <w:unhideWhenUsed/>
    <w:rsid w:val="00262F75"/>
    <w:pPr>
      <w:tabs>
        <w:tab w:val="center" w:pos="4680"/>
        <w:tab w:val="right" w:pos="9360"/>
      </w:tabs>
    </w:pPr>
  </w:style>
  <w:style w:type="character" w:customStyle="1" w:styleId="HeaderChar">
    <w:name w:val="Header Char"/>
    <w:basedOn w:val="DefaultParagraphFont"/>
    <w:link w:val="Header"/>
    <w:uiPriority w:val="99"/>
    <w:rsid w:val="00262F75"/>
    <w:rPr>
      <w:rFonts w:ascii="Times New Roman" w:hAnsi="Times New Roman"/>
    </w:rPr>
  </w:style>
  <w:style w:type="character" w:styleId="Hyperlink">
    <w:name w:val="Hyperlink"/>
    <w:basedOn w:val="DefaultParagraphFont"/>
    <w:uiPriority w:val="99"/>
    <w:unhideWhenUsed/>
    <w:rsid w:val="004D03F8"/>
    <w:rPr>
      <w:color w:val="0000FF" w:themeColor="hyperlink"/>
      <w:u w:val="single"/>
    </w:rPr>
  </w:style>
  <w:style w:type="character" w:styleId="FollowedHyperlink">
    <w:name w:val="FollowedHyperlink"/>
    <w:basedOn w:val="DefaultParagraphFont"/>
    <w:uiPriority w:val="99"/>
    <w:semiHidden/>
    <w:unhideWhenUsed/>
    <w:rsid w:val="00B93D60"/>
    <w:rPr>
      <w:color w:val="800080" w:themeColor="followedHyperlink"/>
      <w:u w:val="single"/>
    </w:rPr>
  </w:style>
  <w:style w:type="paragraph" w:styleId="DocumentMap">
    <w:name w:val="Document Map"/>
    <w:basedOn w:val="Normal"/>
    <w:link w:val="DocumentMapChar"/>
    <w:uiPriority w:val="99"/>
    <w:semiHidden/>
    <w:unhideWhenUsed/>
    <w:rsid w:val="007F0216"/>
    <w:rPr>
      <w:rFonts w:cs="Times New Roman"/>
    </w:rPr>
  </w:style>
  <w:style w:type="character" w:customStyle="1" w:styleId="DocumentMapChar">
    <w:name w:val="Document Map Char"/>
    <w:basedOn w:val="DefaultParagraphFont"/>
    <w:link w:val="DocumentMap"/>
    <w:uiPriority w:val="99"/>
    <w:semiHidden/>
    <w:rsid w:val="007F0216"/>
    <w:rPr>
      <w:rFonts w:ascii="Times New Roman" w:hAnsi="Times New Roman" w:cs="Times New Roman"/>
    </w:rPr>
  </w:style>
  <w:style w:type="paragraph" w:styleId="Revision">
    <w:name w:val="Revision"/>
    <w:hidden/>
    <w:uiPriority w:val="99"/>
    <w:semiHidden/>
    <w:rsid w:val="00523103"/>
    <w:rPr>
      <w:rFonts w:ascii="Times New Roman" w:hAnsi="Times New Roman"/>
    </w:rPr>
  </w:style>
  <w:style w:type="character" w:customStyle="1" w:styleId="Heading3Char">
    <w:name w:val="Heading 3 Char"/>
    <w:basedOn w:val="DefaultParagraphFont"/>
    <w:link w:val="Heading3"/>
    <w:rsid w:val="00FF47B7"/>
    <w:rPr>
      <w:rFonts w:ascii="Calibri" w:eastAsia="MS Gothic" w:hAnsi="Calibri"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05"/>
    <w:rPr>
      <w:rFonts w:ascii="Times New Roman" w:hAnsi="Times New Roman"/>
    </w:rPr>
  </w:style>
  <w:style w:type="paragraph" w:styleId="Heading3">
    <w:name w:val="heading 3"/>
    <w:basedOn w:val="Normal"/>
    <w:next w:val="Normal"/>
    <w:link w:val="Heading3Char"/>
    <w:unhideWhenUsed/>
    <w:qFormat/>
    <w:rsid w:val="00FF47B7"/>
    <w:pPr>
      <w:keepNext/>
      <w:spacing w:before="240" w:after="60"/>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D7"/>
    <w:pPr>
      <w:ind w:left="720"/>
      <w:contextualSpacing/>
    </w:pPr>
  </w:style>
  <w:style w:type="paragraph" w:styleId="Footer">
    <w:name w:val="footer"/>
    <w:basedOn w:val="Normal"/>
    <w:link w:val="FooterChar"/>
    <w:uiPriority w:val="99"/>
    <w:unhideWhenUsed/>
    <w:rsid w:val="00590E98"/>
    <w:pPr>
      <w:tabs>
        <w:tab w:val="center" w:pos="4320"/>
        <w:tab w:val="right" w:pos="8640"/>
      </w:tabs>
    </w:pPr>
  </w:style>
  <w:style w:type="character" w:customStyle="1" w:styleId="FooterChar">
    <w:name w:val="Footer Char"/>
    <w:basedOn w:val="DefaultParagraphFont"/>
    <w:link w:val="Footer"/>
    <w:uiPriority w:val="99"/>
    <w:rsid w:val="00590E98"/>
    <w:rPr>
      <w:rFonts w:ascii="Times New Roman" w:hAnsi="Times New Roman"/>
    </w:rPr>
  </w:style>
  <w:style w:type="character" w:styleId="PageNumber">
    <w:name w:val="page number"/>
    <w:basedOn w:val="DefaultParagraphFont"/>
    <w:uiPriority w:val="99"/>
    <w:semiHidden/>
    <w:unhideWhenUsed/>
    <w:rsid w:val="00590E98"/>
  </w:style>
  <w:style w:type="paragraph" w:styleId="BalloonText">
    <w:name w:val="Balloon Text"/>
    <w:basedOn w:val="Normal"/>
    <w:link w:val="BalloonTextChar"/>
    <w:uiPriority w:val="99"/>
    <w:semiHidden/>
    <w:unhideWhenUsed/>
    <w:rsid w:val="0060696A"/>
    <w:rPr>
      <w:rFonts w:ascii="Tahoma" w:hAnsi="Tahoma" w:cs="Tahoma"/>
      <w:sz w:val="16"/>
      <w:szCs w:val="16"/>
    </w:rPr>
  </w:style>
  <w:style w:type="character" w:customStyle="1" w:styleId="BalloonTextChar">
    <w:name w:val="Balloon Text Char"/>
    <w:basedOn w:val="DefaultParagraphFont"/>
    <w:link w:val="BalloonText"/>
    <w:uiPriority w:val="99"/>
    <w:semiHidden/>
    <w:rsid w:val="0060696A"/>
    <w:rPr>
      <w:rFonts w:ascii="Tahoma" w:hAnsi="Tahoma" w:cs="Tahoma"/>
      <w:sz w:val="16"/>
      <w:szCs w:val="16"/>
    </w:rPr>
  </w:style>
  <w:style w:type="character" w:styleId="CommentReference">
    <w:name w:val="annotation reference"/>
    <w:basedOn w:val="DefaultParagraphFont"/>
    <w:uiPriority w:val="99"/>
    <w:semiHidden/>
    <w:unhideWhenUsed/>
    <w:rsid w:val="00133705"/>
    <w:rPr>
      <w:sz w:val="18"/>
      <w:szCs w:val="18"/>
    </w:rPr>
  </w:style>
  <w:style w:type="paragraph" w:styleId="CommentText">
    <w:name w:val="annotation text"/>
    <w:basedOn w:val="Normal"/>
    <w:link w:val="CommentTextChar"/>
    <w:uiPriority w:val="99"/>
    <w:semiHidden/>
    <w:unhideWhenUsed/>
    <w:rsid w:val="00133705"/>
  </w:style>
  <w:style w:type="character" w:customStyle="1" w:styleId="CommentTextChar">
    <w:name w:val="Comment Text Char"/>
    <w:basedOn w:val="DefaultParagraphFont"/>
    <w:link w:val="CommentText"/>
    <w:uiPriority w:val="99"/>
    <w:semiHidden/>
    <w:rsid w:val="001337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3705"/>
    <w:rPr>
      <w:b/>
      <w:bCs/>
      <w:sz w:val="20"/>
      <w:szCs w:val="20"/>
    </w:rPr>
  </w:style>
  <w:style w:type="character" w:customStyle="1" w:styleId="CommentSubjectChar">
    <w:name w:val="Comment Subject Char"/>
    <w:basedOn w:val="CommentTextChar"/>
    <w:link w:val="CommentSubject"/>
    <w:uiPriority w:val="99"/>
    <w:semiHidden/>
    <w:rsid w:val="00133705"/>
    <w:rPr>
      <w:rFonts w:ascii="Times New Roman" w:hAnsi="Times New Roman"/>
      <w:b/>
      <w:bCs/>
      <w:sz w:val="20"/>
      <w:szCs w:val="20"/>
    </w:rPr>
  </w:style>
  <w:style w:type="table" w:styleId="TableGrid">
    <w:name w:val="Table Grid"/>
    <w:basedOn w:val="TableNormal"/>
    <w:uiPriority w:val="39"/>
    <w:rsid w:val="00602719"/>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F3665B"/>
    <w:rPr>
      <w:rFonts w:ascii="Helvetica Neue" w:eastAsiaTheme="minorHAnsi" w:hAnsi="Helvetica Neue" w:cs="Times New Roman"/>
      <w:color w:val="454545"/>
      <w:sz w:val="18"/>
      <w:szCs w:val="18"/>
    </w:rPr>
  </w:style>
  <w:style w:type="character" w:styleId="Strong">
    <w:name w:val="Strong"/>
    <w:basedOn w:val="DefaultParagraphFont"/>
    <w:uiPriority w:val="22"/>
    <w:qFormat/>
    <w:rsid w:val="00DF3B23"/>
    <w:rPr>
      <w:b/>
      <w:bCs/>
    </w:rPr>
  </w:style>
  <w:style w:type="paragraph" w:styleId="Header">
    <w:name w:val="header"/>
    <w:basedOn w:val="Normal"/>
    <w:link w:val="HeaderChar"/>
    <w:uiPriority w:val="99"/>
    <w:unhideWhenUsed/>
    <w:rsid w:val="00262F75"/>
    <w:pPr>
      <w:tabs>
        <w:tab w:val="center" w:pos="4680"/>
        <w:tab w:val="right" w:pos="9360"/>
      </w:tabs>
    </w:pPr>
  </w:style>
  <w:style w:type="character" w:customStyle="1" w:styleId="HeaderChar">
    <w:name w:val="Header Char"/>
    <w:basedOn w:val="DefaultParagraphFont"/>
    <w:link w:val="Header"/>
    <w:uiPriority w:val="99"/>
    <w:rsid w:val="00262F75"/>
    <w:rPr>
      <w:rFonts w:ascii="Times New Roman" w:hAnsi="Times New Roman"/>
    </w:rPr>
  </w:style>
  <w:style w:type="character" w:styleId="Hyperlink">
    <w:name w:val="Hyperlink"/>
    <w:basedOn w:val="DefaultParagraphFont"/>
    <w:uiPriority w:val="99"/>
    <w:unhideWhenUsed/>
    <w:rsid w:val="004D03F8"/>
    <w:rPr>
      <w:color w:val="0000FF" w:themeColor="hyperlink"/>
      <w:u w:val="single"/>
    </w:rPr>
  </w:style>
  <w:style w:type="character" w:styleId="FollowedHyperlink">
    <w:name w:val="FollowedHyperlink"/>
    <w:basedOn w:val="DefaultParagraphFont"/>
    <w:uiPriority w:val="99"/>
    <w:semiHidden/>
    <w:unhideWhenUsed/>
    <w:rsid w:val="00B93D60"/>
    <w:rPr>
      <w:color w:val="800080" w:themeColor="followedHyperlink"/>
      <w:u w:val="single"/>
    </w:rPr>
  </w:style>
  <w:style w:type="paragraph" w:styleId="DocumentMap">
    <w:name w:val="Document Map"/>
    <w:basedOn w:val="Normal"/>
    <w:link w:val="DocumentMapChar"/>
    <w:uiPriority w:val="99"/>
    <w:semiHidden/>
    <w:unhideWhenUsed/>
    <w:rsid w:val="007F0216"/>
    <w:rPr>
      <w:rFonts w:cs="Times New Roman"/>
    </w:rPr>
  </w:style>
  <w:style w:type="character" w:customStyle="1" w:styleId="DocumentMapChar">
    <w:name w:val="Document Map Char"/>
    <w:basedOn w:val="DefaultParagraphFont"/>
    <w:link w:val="DocumentMap"/>
    <w:uiPriority w:val="99"/>
    <w:semiHidden/>
    <w:rsid w:val="007F0216"/>
    <w:rPr>
      <w:rFonts w:ascii="Times New Roman" w:hAnsi="Times New Roman" w:cs="Times New Roman"/>
    </w:rPr>
  </w:style>
  <w:style w:type="paragraph" w:styleId="Revision">
    <w:name w:val="Revision"/>
    <w:hidden/>
    <w:uiPriority w:val="99"/>
    <w:semiHidden/>
    <w:rsid w:val="00523103"/>
    <w:rPr>
      <w:rFonts w:ascii="Times New Roman" w:hAnsi="Times New Roman"/>
    </w:rPr>
  </w:style>
  <w:style w:type="character" w:customStyle="1" w:styleId="Heading3Char">
    <w:name w:val="Heading 3 Char"/>
    <w:basedOn w:val="DefaultParagraphFont"/>
    <w:link w:val="Heading3"/>
    <w:rsid w:val="00FF47B7"/>
    <w:rPr>
      <w:rFonts w:ascii="Calibri" w:eastAsia="MS Gothic"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148">
      <w:bodyDiv w:val="1"/>
      <w:marLeft w:val="0"/>
      <w:marRight w:val="0"/>
      <w:marTop w:val="0"/>
      <w:marBottom w:val="0"/>
      <w:divBdr>
        <w:top w:val="none" w:sz="0" w:space="0" w:color="auto"/>
        <w:left w:val="none" w:sz="0" w:space="0" w:color="auto"/>
        <w:bottom w:val="none" w:sz="0" w:space="0" w:color="auto"/>
        <w:right w:val="none" w:sz="0" w:space="0" w:color="auto"/>
      </w:divBdr>
    </w:div>
    <w:div w:id="166143286">
      <w:bodyDiv w:val="1"/>
      <w:marLeft w:val="0"/>
      <w:marRight w:val="0"/>
      <w:marTop w:val="0"/>
      <w:marBottom w:val="0"/>
      <w:divBdr>
        <w:top w:val="none" w:sz="0" w:space="0" w:color="auto"/>
        <w:left w:val="none" w:sz="0" w:space="0" w:color="auto"/>
        <w:bottom w:val="none" w:sz="0" w:space="0" w:color="auto"/>
        <w:right w:val="none" w:sz="0" w:space="0" w:color="auto"/>
      </w:divBdr>
    </w:div>
    <w:div w:id="216480111">
      <w:bodyDiv w:val="1"/>
      <w:marLeft w:val="0"/>
      <w:marRight w:val="0"/>
      <w:marTop w:val="0"/>
      <w:marBottom w:val="0"/>
      <w:divBdr>
        <w:top w:val="none" w:sz="0" w:space="0" w:color="auto"/>
        <w:left w:val="none" w:sz="0" w:space="0" w:color="auto"/>
        <w:bottom w:val="none" w:sz="0" w:space="0" w:color="auto"/>
        <w:right w:val="none" w:sz="0" w:space="0" w:color="auto"/>
      </w:divBdr>
    </w:div>
    <w:div w:id="225650503">
      <w:bodyDiv w:val="1"/>
      <w:marLeft w:val="0"/>
      <w:marRight w:val="0"/>
      <w:marTop w:val="0"/>
      <w:marBottom w:val="0"/>
      <w:divBdr>
        <w:top w:val="none" w:sz="0" w:space="0" w:color="auto"/>
        <w:left w:val="none" w:sz="0" w:space="0" w:color="auto"/>
        <w:bottom w:val="none" w:sz="0" w:space="0" w:color="auto"/>
        <w:right w:val="none" w:sz="0" w:space="0" w:color="auto"/>
      </w:divBdr>
    </w:div>
    <w:div w:id="520321428">
      <w:bodyDiv w:val="1"/>
      <w:marLeft w:val="0"/>
      <w:marRight w:val="0"/>
      <w:marTop w:val="0"/>
      <w:marBottom w:val="0"/>
      <w:divBdr>
        <w:top w:val="none" w:sz="0" w:space="0" w:color="auto"/>
        <w:left w:val="none" w:sz="0" w:space="0" w:color="auto"/>
        <w:bottom w:val="none" w:sz="0" w:space="0" w:color="auto"/>
        <w:right w:val="none" w:sz="0" w:space="0" w:color="auto"/>
      </w:divBdr>
    </w:div>
    <w:div w:id="596519515">
      <w:bodyDiv w:val="1"/>
      <w:marLeft w:val="0"/>
      <w:marRight w:val="0"/>
      <w:marTop w:val="0"/>
      <w:marBottom w:val="0"/>
      <w:divBdr>
        <w:top w:val="none" w:sz="0" w:space="0" w:color="auto"/>
        <w:left w:val="none" w:sz="0" w:space="0" w:color="auto"/>
        <w:bottom w:val="none" w:sz="0" w:space="0" w:color="auto"/>
        <w:right w:val="none" w:sz="0" w:space="0" w:color="auto"/>
      </w:divBdr>
    </w:div>
    <w:div w:id="707340860">
      <w:bodyDiv w:val="1"/>
      <w:marLeft w:val="0"/>
      <w:marRight w:val="0"/>
      <w:marTop w:val="0"/>
      <w:marBottom w:val="0"/>
      <w:divBdr>
        <w:top w:val="none" w:sz="0" w:space="0" w:color="auto"/>
        <w:left w:val="none" w:sz="0" w:space="0" w:color="auto"/>
        <w:bottom w:val="none" w:sz="0" w:space="0" w:color="auto"/>
        <w:right w:val="none" w:sz="0" w:space="0" w:color="auto"/>
      </w:divBdr>
    </w:div>
    <w:div w:id="1087923474">
      <w:bodyDiv w:val="1"/>
      <w:marLeft w:val="0"/>
      <w:marRight w:val="0"/>
      <w:marTop w:val="0"/>
      <w:marBottom w:val="0"/>
      <w:divBdr>
        <w:top w:val="none" w:sz="0" w:space="0" w:color="auto"/>
        <w:left w:val="none" w:sz="0" w:space="0" w:color="auto"/>
        <w:bottom w:val="none" w:sz="0" w:space="0" w:color="auto"/>
        <w:right w:val="none" w:sz="0" w:space="0" w:color="auto"/>
      </w:divBdr>
    </w:div>
    <w:div w:id="1170294290">
      <w:bodyDiv w:val="1"/>
      <w:marLeft w:val="0"/>
      <w:marRight w:val="0"/>
      <w:marTop w:val="0"/>
      <w:marBottom w:val="0"/>
      <w:divBdr>
        <w:top w:val="none" w:sz="0" w:space="0" w:color="auto"/>
        <w:left w:val="none" w:sz="0" w:space="0" w:color="auto"/>
        <w:bottom w:val="none" w:sz="0" w:space="0" w:color="auto"/>
        <w:right w:val="none" w:sz="0" w:space="0" w:color="auto"/>
      </w:divBdr>
    </w:div>
    <w:div w:id="1260405959">
      <w:bodyDiv w:val="1"/>
      <w:marLeft w:val="0"/>
      <w:marRight w:val="0"/>
      <w:marTop w:val="0"/>
      <w:marBottom w:val="0"/>
      <w:divBdr>
        <w:top w:val="none" w:sz="0" w:space="0" w:color="auto"/>
        <w:left w:val="none" w:sz="0" w:space="0" w:color="auto"/>
        <w:bottom w:val="none" w:sz="0" w:space="0" w:color="auto"/>
        <w:right w:val="none" w:sz="0" w:space="0" w:color="auto"/>
      </w:divBdr>
    </w:div>
    <w:div w:id="1330446473">
      <w:bodyDiv w:val="1"/>
      <w:marLeft w:val="0"/>
      <w:marRight w:val="0"/>
      <w:marTop w:val="0"/>
      <w:marBottom w:val="0"/>
      <w:divBdr>
        <w:top w:val="none" w:sz="0" w:space="0" w:color="auto"/>
        <w:left w:val="none" w:sz="0" w:space="0" w:color="auto"/>
        <w:bottom w:val="none" w:sz="0" w:space="0" w:color="auto"/>
        <w:right w:val="none" w:sz="0" w:space="0" w:color="auto"/>
      </w:divBdr>
    </w:div>
    <w:div w:id="1572883957">
      <w:bodyDiv w:val="1"/>
      <w:marLeft w:val="0"/>
      <w:marRight w:val="0"/>
      <w:marTop w:val="0"/>
      <w:marBottom w:val="0"/>
      <w:divBdr>
        <w:top w:val="none" w:sz="0" w:space="0" w:color="auto"/>
        <w:left w:val="none" w:sz="0" w:space="0" w:color="auto"/>
        <w:bottom w:val="none" w:sz="0" w:space="0" w:color="auto"/>
        <w:right w:val="none" w:sz="0" w:space="0" w:color="auto"/>
      </w:divBdr>
    </w:div>
    <w:div w:id="1697072148">
      <w:bodyDiv w:val="1"/>
      <w:marLeft w:val="0"/>
      <w:marRight w:val="0"/>
      <w:marTop w:val="0"/>
      <w:marBottom w:val="0"/>
      <w:divBdr>
        <w:top w:val="none" w:sz="0" w:space="0" w:color="auto"/>
        <w:left w:val="none" w:sz="0" w:space="0" w:color="auto"/>
        <w:bottom w:val="none" w:sz="0" w:space="0" w:color="auto"/>
        <w:right w:val="none" w:sz="0" w:space="0" w:color="auto"/>
      </w:divBdr>
    </w:div>
    <w:div w:id="1733384139">
      <w:bodyDiv w:val="1"/>
      <w:marLeft w:val="0"/>
      <w:marRight w:val="0"/>
      <w:marTop w:val="0"/>
      <w:marBottom w:val="0"/>
      <w:divBdr>
        <w:top w:val="none" w:sz="0" w:space="0" w:color="auto"/>
        <w:left w:val="none" w:sz="0" w:space="0" w:color="auto"/>
        <w:bottom w:val="none" w:sz="0" w:space="0" w:color="auto"/>
        <w:right w:val="none" w:sz="0" w:space="0" w:color="auto"/>
      </w:divBdr>
    </w:div>
    <w:div w:id="2050260297">
      <w:bodyDiv w:val="1"/>
      <w:marLeft w:val="0"/>
      <w:marRight w:val="0"/>
      <w:marTop w:val="0"/>
      <w:marBottom w:val="0"/>
      <w:divBdr>
        <w:top w:val="none" w:sz="0" w:space="0" w:color="auto"/>
        <w:left w:val="none" w:sz="0" w:space="0" w:color="auto"/>
        <w:bottom w:val="none" w:sz="0" w:space="0" w:color="auto"/>
        <w:right w:val="none" w:sz="0" w:space="0" w:color="auto"/>
      </w:divBdr>
    </w:div>
    <w:div w:id="2058311710">
      <w:bodyDiv w:val="1"/>
      <w:marLeft w:val="0"/>
      <w:marRight w:val="0"/>
      <w:marTop w:val="0"/>
      <w:marBottom w:val="0"/>
      <w:divBdr>
        <w:top w:val="none" w:sz="0" w:space="0" w:color="auto"/>
        <w:left w:val="none" w:sz="0" w:space="0" w:color="auto"/>
        <w:bottom w:val="none" w:sz="0" w:space="0" w:color="auto"/>
        <w:right w:val="none" w:sz="0" w:space="0" w:color="auto"/>
      </w:divBdr>
      <w:divsChild>
        <w:div w:id="185876714">
          <w:marLeft w:val="0"/>
          <w:marRight w:val="0"/>
          <w:marTop w:val="0"/>
          <w:marBottom w:val="0"/>
          <w:divBdr>
            <w:top w:val="none" w:sz="0" w:space="0" w:color="auto"/>
            <w:left w:val="none" w:sz="0" w:space="0" w:color="auto"/>
            <w:bottom w:val="none" w:sz="0" w:space="0" w:color="auto"/>
            <w:right w:val="none" w:sz="0" w:space="0" w:color="auto"/>
          </w:divBdr>
        </w:div>
        <w:div w:id="1565918047">
          <w:marLeft w:val="0"/>
          <w:marRight w:val="0"/>
          <w:marTop w:val="0"/>
          <w:marBottom w:val="0"/>
          <w:divBdr>
            <w:top w:val="none" w:sz="0" w:space="0" w:color="auto"/>
            <w:left w:val="none" w:sz="0" w:space="0" w:color="auto"/>
            <w:bottom w:val="none" w:sz="0" w:space="0" w:color="auto"/>
            <w:right w:val="none" w:sz="0" w:space="0" w:color="auto"/>
          </w:divBdr>
        </w:div>
        <w:div w:id="1704017591">
          <w:marLeft w:val="0"/>
          <w:marRight w:val="0"/>
          <w:marTop w:val="0"/>
          <w:marBottom w:val="0"/>
          <w:divBdr>
            <w:top w:val="none" w:sz="0" w:space="0" w:color="auto"/>
            <w:left w:val="none" w:sz="0" w:space="0" w:color="auto"/>
            <w:bottom w:val="none" w:sz="0" w:space="0" w:color="auto"/>
            <w:right w:val="none" w:sz="0" w:space="0" w:color="auto"/>
          </w:divBdr>
        </w:div>
      </w:divsChild>
    </w:div>
    <w:div w:id="206197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deocaring.org/" TargetMode="External"/><Relationship Id="rId9" Type="http://schemas.openxmlformats.org/officeDocument/2006/relationships/hyperlink" Target="http://www.alz.org/maryland/in_my_community_16103.a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6214</Words>
  <Characters>35422</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Bcat</Company>
  <LinksUpToDate>false</LinksUpToDate>
  <CharactersWithSpaces>41553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Mansbach</dc:creator>
  <cp:keywords/>
  <dc:description/>
  <cp:lastModifiedBy>LifeSpan Network</cp:lastModifiedBy>
  <cp:revision>2</cp:revision>
  <cp:lastPrinted>2017-02-24T16:42:00Z</cp:lastPrinted>
  <dcterms:created xsi:type="dcterms:W3CDTF">2017-06-16T18:49:00Z</dcterms:created>
  <dcterms:modified xsi:type="dcterms:W3CDTF">2017-06-16T18:49:00Z</dcterms:modified>
</cp:coreProperties>
</file>